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jc w:val="center"/>
        <w:textAlignment w:val="auto"/>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佛山高新技术产业开发区管理委员会关于加强知识产权创造、保护和运用的资助实施细则</w:t>
      </w:r>
    </w:p>
    <w:p>
      <w:pPr>
        <w:keepNext w:val="0"/>
        <w:keepLines w:val="0"/>
        <w:pageBreakBefore w:val="0"/>
        <w:kinsoku/>
        <w:wordWrap/>
        <w:overflowPunct/>
        <w:topLinePunct w:val="0"/>
        <w:autoSpaceDN/>
        <w:bidi w:val="0"/>
        <w:adjustRightInd/>
        <w:snapToGrid/>
        <w:spacing w:line="560" w:lineRule="exact"/>
        <w:jc w:val="left"/>
        <w:textAlignment w:val="auto"/>
        <w:rPr>
          <w:rFonts w:ascii="仿宋_GB2312" w:hAnsi="方正小标宋简体" w:eastAsia="仿宋_GB2312" w:cs="方正小标宋简体"/>
          <w:sz w:val="32"/>
          <w:szCs w:val="32"/>
          <w:highlight w:val="none"/>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ascii="黑体" w:hAnsi="黑体" w:eastAsia="黑体" w:cs="黑体"/>
          <w:sz w:val="32"/>
          <w:szCs w:val="32"/>
          <w:highlight w:val="none"/>
        </w:rPr>
        <w:t>第一章 总则</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第一条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rPr>
        <w:t>为</w:t>
      </w:r>
      <w:r>
        <w:rPr>
          <w:rFonts w:ascii="仿宋" w:hAnsi="仿宋" w:eastAsia="仿宋" w:cs="Times New Roman"/>
          <w:bCs/>
          <w:sz w:val="32"/>
          <w:szCs w:val="32"/>
          <w:highlight w:val="none"/>
        </w:rPr>
        <w:t>鼓励</w:t>
      </w:r>
      <w:r>
        <w:rPr>
          <w:rFonts w:hint="eastAsia" w:ascii="仿宋" w:hAnsi="仿宋" w:eastAsia="仿宋" w:cs="Times New Roman"/>
          <w:bCs/>
          <w:sz w:val="32"/>
          <w:szCs w:val="32"/>
          <w:highlight w:val="none"/>
        </w:rPr>
        <w:t>佛山高新技术产业开发区（以下简称佛山高新区）</w:t>
      </w:r>
      <w:r>
        <w:rPr>
          <w:rFonts w:ascii="仿宋" w:hAnsi="仿宋" w:eastAsia="仿宋" w:cs="Times New Roman"/>
          <w:bCs/>
          <w:sz w:val="32"/>
          <w:szCs w:val="32"/>
          <w:highlight w:val="none"/>
        </w:rPr>
        <w:t>加强技术创新和知识产权保护，加大</w:t>
      </w:r>
      <w:r>
        <w:rPr>
          <w:rFonts w:hint="eastAsia" w:ascii="仿宋" w:hAnsi="仿宋" w:eastAsia="仿宋" w:cs="Times New Roman"/>
          <w:bCs/>
          <w:sz w:val="32"/>
          <w:szCs w:val="32"/>
          <w:highlight w:val="none"/>
        </w:rPr>
        <w:t>对</w:t>
      </w:r>
      <w:r>
        <w:rPr>
          <w:rFonts w:ascii="仿宋" w:hAnsi="仿宋" w:eastAsia="仿宋" w:cs="Times New Roman"/>
          <w:bCs/>
          <w:sz w:val="32"/>
          <w:szCs w:val="32"/>
          <w:highlight w:val="none"/>
        </w:rPr>
        <w:t>知识产权运用</w:t>
      </w:r>
      <w:r>
        <w:rPr>
          <w:rFonts w:hint="eastAsia" w:ascii="仿宋" w:hAnsi="仿宋" w:eastAsia="仿宋" w:cs="Times New Roman"/>
          <w:bCs/>
          <w:sz w:val="32"/>
          <w:szCs w:val="32"/>
          <w:highlight w:val="none"/>
        </w:rPr>
        <w:t>的</w:t>
      </w:r>
      <w:r>
        <w:rPr>
          <w:rFonts w:ascii="仿宋" w:hAnsi="仿宋" w:eastAsia="仿宋" w:cs="Times New Roman"/>
          <w:bCs/>
          <w:sz w:val="32"/>
          <w:szCs w:val="32"/>
          <w:highlight w:val="none"/>
        </w:rPr>
        <w:t>支持力度，拓宽</w:t>
      </w:r>
      <w:r>
        <w:rPr>
          <w:rFonts w:hint="eastAsia" w:ascii="仿宋" w:hAnsi="仿宋" w:eastAsia="仿宋" w:cs="Times New Roman"/>
          <w:bCs/>
          <w:sz w:val="32"/>
          <w:szCs w:val="32"/>
          <w:highlight w:val="none"/>
        </w:rPr>
        <w:t>企业</w:t>
      </w:r>
      <w:r>
        <w:rPr>
          <w:rFonts w:ascii="仿宋" w:hAnsi="仿宋" w:eastAsia="仿宋" w:cs="Times New Roman"/>
          <w:bCs/>
          <w:sz w:val="32"/>
          <w:szCs w:val="32"/>
          <w:highlight w:val="none"/>
        </w:rPr>
        <w:t>融资渠道</w:t>
      </w:r>
      <w:r>
        <w:rPr>
          <w:rFonts w:ascii="仿宋" w:hAnsi="仿宋" w:eastAsia="仿宋" w:cs="Times New Roman"/>
          <w:sz w:val="32"/>
          <w:szCs w:val="32"/>
          <w:highlight w:val="none"/>
        </w:rPr>
        <w:t>，完善区域创新生态环境，佛山高新</w:t>
      </w:r>
      <w:r>
        <w:rPr>
          <w:rFonts w:hint="eastAsia" w:ascii="仿宋" w:hAnsi="仿宋" w:eastAsia="仿宋" w:cs="Times New Roman"/>
          <w:sz w:val="32"/>
          <w:szCs w:val="32"/>
          <w:highlight w:val="none"/>
        </w:rPr>
        <w:t>技术</w:t>
      </w:r>
      <w:r>
        <w:rPr>
          <w:rFonts w:ascii="仿宋" w:hAnsi="仿宋" w:eastAsia="仿宋" w:cs="Times New Roman"/>
          <w:sz w:val="32"/>
          <w:szCs w:val="32"/>
          <w:highlight w:val="none"/>
        </w:rPr>
        <w:t>产业开发区管理委员会（</w:t>
      </w:r>
      <w:r>
        <w:rPr>
          <w:rFonts w:hint="eastAsia" w:ascii="仿宋" w:hAnsi="仿宋" w:eastAsia="仿宋" w:cs="Times New Roman"/>
          <w:sz w:val="32"/>
          <w:szCs w:val="32"/>
          <w:highlight w:val="none"/>
        </w:rPr>
        <w:t>以下</w:t>
      </w:r>
      <w:r>
        <w:rPr>
          <w:rFonts w:ascii="仿宋" w:hAnsi="仿宋" w:eastAsia="仿宋" w:cs="Times New Roman"/>
          <w:sz w:val="32"/>
          <w:szCs w:val="32"/>
          <w:highlight w:val="none"/>
        </w:rPr>
        <w:t>简称</w:t>
      </w:r>
      <w:r>
        <w:rPr>
          <w:rFonts w:hint="eastAsia" w:ascii="仿宋" w:hAnsi="仿宋" w:eastAsia="仿宋" w:cs="Times New Roman"/>
          <w:sz w:val="32"/>
          <w:szCs w:val="32"/>
          <w:highlight w:val="none"/>
        </w:rPr>
        <w:t>佛山</w:t>
      </w:r>
      <w:r>
        <w:rPr>
          <w:rFonts w:ascii="仿宋" w:hAnsi="仿宋" w:eastAsia="仿宋" w:cs="Times New Roman"/>
          <w:sz w:val="32"/>
          <w:szCs w:val="32"/>
          <w:highlight w:val="none"/>
        </w:rPr>
        <w:t>高新区管委会）决定支持知识产权创造、保护和运用，特制定本细则。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 w:cs="Times New Roman"/>
          <w:b/>
          <w:bCs/>
          <w:sz w:val="32"/>
          <w:szCs w:val="32"/>
          <w:highlight w:val="none"/>
        </w:rPr>
      </w:pPr>
      <w:r>
        <w:rPr>
          <w:rFonts w:ascii="Times New Roman" w:hAnsi="Times New Roman" w:eastAsia="黑体" w:cs="Times New Roman"/>
          <w:sz w:val="32"/>
          <w:szCs w:val="32"/>
          <w:highlight w:val="none"/>
        </w:rPr>
        <w:t xml:space="preserve">第二条 </w:t>
      </w:r>
      <w:r>
        <w:rPr>
          <w:rFonts w:ascii="仿宋" w:hAnsi="仿宋" w:eastAsia="仿宋" w:cs="Times New Roman"/>
          <w:sz w:val="32"/>
          <w:szCs w:val="32"/>
          <w:highlight w:val="none"/>
        </w:rPr>
        <w:t>本细则所</w:t>
      </w:r>
      <w:r>
        <w:rPr>
          <w:rFonts w:hint="eastAsia" w:ascii="仿宋" w:hAnsi="仿宋" w:eastAsia="仿宋" w:cs="Times New Roman"/>
          <w:sz w:val="32"/>
          <w:szCs w:val="32"/>
          <w:highlight w:val="none"/>
        </w:rPr>
        <w:t>称</w:t>
      </w:r>
      <w:r>
        <w:rPr>
          <w:rFonts w:ascii="仿宋" w:hAnsi="仿宋" w:eastAsia="仿宋" w:cs="Times New Roman"/>
          <w:sz w:val="32"/>
          <w:szCs w:val="32"/>
          <w:highlight w:val="none"/>
        </w:rPr>
        <w:t>知识产权创造、保护和运用是指支持佛山高新区内企业通过自主研发创新，获得发明专利授权、申请PCT国际专利和海外商标，并引导企业通过知识产权质押贷款进行融资，拓宽企业融资渠道。</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第三条 </w:t>
      </w:r>
      <w:r>
        <w:rPr>
          <w:rFonts w:ascii="仿宋" w:hAnsi="仿宋" w:eastAsia="仿宋" w:cs="Times New Roman"/>
          <w:sz w:val="32"/>
          <w:szCs w:val="32"/>
          <w:highlight w:val="none"/>
        </w:rPr>
        <w:t>佛山高新区管委会在佛山高新区经济发展专项资金中安排</w:t>
      </w:r>
      <w:r>
        <w:rPr>
          <w:rFonts w:hint="eastAsia" w:ascii="仿宋" w:hAnsi="仿宋" w:eastAsia="仿宋" w:cs="Times New Roman"/>
          <w:sz w:val="32"/>
          <w:szCs w:val="32"/>
          <w:highlight w:val="none"/>
        </w:rPr>
        <w:t>一定</w:t>
      </w:r>
      <w:r>
        <w:rPr>
          <w:rFonts w:ascii="仿宋" w:hAnsi="仿宋" w:eastAsia="仿宋" w:cs="Times New Roman"/>
          <w:sz w:val="32"/>
          <w:szCs w:val="32"/>
          <w:highlight w:val="none"/>
        </w:rPr>
        <w:t>财政资金用于</w:t>
      </w:r>
      <w:r>
        <w:rPr>
          <w:rFonts w:hint="eastAsia" w:ascii="仿宋" w:hAnsi="仿宋" w:eastAsia="仿宋" w:cs="Times New Roman"/>
          <w:sz w:val="32"/>
          <w:szCs w:val="32"/>
          <w:highlight w:val="none"/>
        </w:rPr>
        <w:t>支持企业</w:t>
      </w:r>
      <w:r>
        <w:rPr>
          <w:rFonts w:ascii="仿宋" w:hAnsi="仿宋" w:eastAsia="仿宋" w:cs="Times New Roman"/>
          <w:sz w:val="32"/>
          <w:szCs w:val="32"/>
          <w:highlight w:val="none"/>
        </w:rPr>
        <w:t>加强知识产权创造、保护和运用，激发企业技术创新活力，降低企业知识产权质押融资成本，推动佛山高新区争创国家知识产权示范园区。</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ascii="黑体" w:hAnsi="黑体" w:eastAsia="黑体" w:cs="黑体"/>
          <w:sz w:val="32"/>
          <w:szCs w:val="32"/>
          <w:highlight w:val="none"/>
        </w:rPr>
        <w:t>第二章  职责分工</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ascii="Times New Roman" w:hAnsi="Times New Roman" w:eastAsia="黑体" w:cs="Times New Roman"/>
          <w:sz w:val="32"/>
          <w:szCs w:val="32"/>
          <w:highlight w:val="none"/>
        </w:rPr>
        <w:t xml:space="preserve">第四条 </w:t>
      </w:r>
      <w:r>
        <w:rPr>
          <w:rFonts w:ascii="仿宋" w:hAnsi="仿宋" w:eastAsia="仿宋" w:cs="Times New Roman"/>
          <w:sz w:val="32"/>
          <w:szCs w:val="32"/>
          <w:highlight w:val="none"/>
        </w:rPr>
        <w:t>佛山高新区管委会科技创新局（知识产权局）（以下简称</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局）的主要职责是：编制知识产权创造、保护和运用的资助实施细则；编制申报指南和通知，组织开展项目申报、评审、立项、结题等工作；组织开展绩效评价；</w:t>
      </w:r>
      <w:r>
        <w:rPr>
          <w:rFonts w:hint="eastAsia" w:ascii="仿宋" w:hAnsi="仿宋" w:eastAsia="仿宋" w:cs="Times New Roman"/>
          <w:sz w:val="32"/>
          <w:szCs w:val="32"/>
          <w:highlight w:val="none"/>
        </w:rPr>
        <w:t>负责项目监督与管理，做</w:t>
      </w:r>
      <w:r>
        <w:rPr>
          <w:rFonts w:ascii="仿宋" w:hAnsi="仿宋" w:eastAsia="仿宋" w:cs="Times New Roman"/>
          <w:sz w:val="32"/>
          <w:szCs w:val="32"/>
          <w:highlight w:val="none"/>
          <w:lang w:bidi="ar"/>
        </w:rPr>
        <w:t>好</w:t>
      </w:r>
      <w:r>
        <w:rPr>
          <w:rFonts w:ascii="仿宋" w:hAnsi="仿宋" w:eastAsia="仿宋" w:cs="Times New Roman"/>
          <w:sz w:val="32"/>
          <w:szCs w:val="32"/>
          <w:highlight w:val="none"/>
        </w:rPr>
        <w:t>佛山高新区各园管理局</w:t>
      </w:r>
      <w:r>
        <w:rPr>
          <w:rFonts w:ascii="仿宋" w:hAnsi="仿宋" w:eastAsia="仿宋" w:cs="Times New Roman"/>
          <w:sz w:val="32"/>
          <w:szCs w:val="32"/>
          <w:highlight w:val="none"/>
          <w:lang w:bidi="ar"/>
        </w:rPr>
        <w:t>的指导与监督工作</w:t>
      </w:r>
      <w:r>
        <w:rPr>
          <w:rFonts w:hint="eastAsia" w:ascii="仿宋" w:hAnsi="仿宋" w:eastAsia="仿宋" w:cs="Times New Roman"/>
          <w:sz w:val="32"/>
          <w:szCs w:val="32"/>
          <w:highlight w:val="none"/>
          <w:lang w:bidi="ar"/>
        </w:rPr>
        <w:t>；</w:t>
      </w:r>
      <w:r>
        <w:rPr>
          <w:rFonts w:hint="eastAsia" w:ascii="仿宋" w:hAnsi="仿宋" w:eastAsia="仿宋" w:cs="Times New Roman"/>
          <w:sz w:val="32"/>
          <w:szCs w:val="32"/>
          <w:highlight w:val="none"/>
        </w:rPr>
        <w:t>佛山高新区纪检监察工作委员会</w:t>
      </w:r>
      <w:r>
        <w:rPr>
          <w:rFonts w:ascii="仿宋" w:hAnsi="仿宋" w:eastAsia="仿宋" w:cs="Times New Roman"/>
          <w:sz w:val="32"/>
          <w:szCs w:val="32"/>
          <w:highlight w:val="none"/>
        </w:rPr>
        <w:t>、佛山高新区管委会规划和财政局（以下简称</w:t>
      </w:r>
      <w:r>
        <w:rPr>
          <w:rFonts w:hint="eastAsia" w:ascii="仿宋" w:hAnsi="仿宋" w:eastAsia="仿宋" w:cs="Times New Roman"/>
          <w:sz w:val="32"/>
          <w:szCs w:val="32"/>
          <w:highlight w:val="none"/>
        </w:rPr>
        <w:t>规划和</w:t>
      </w:r>
      <w:r>
        <w:rPr>
          <w:rFonts w:ascii="仿宋" w:hAnsi="仿宋" w:eastAsia="仿宋" w:cs="Times New Roman"/>
          <w:sz w:val="32"/>
          <w:szCs w:val="32"/>
          <w:highlight w:val="none"/>
        </w:rPr>
        <w:t>财政局）等的监督。</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第五条 </w:t>
      </w:r>
      <w:r>
        <w:rPr>
          <w:rFonts w:ascii="仿宋" w:hAnsi="仿宋" w:eastAsia="仿宋" w:cs="Times New Roman"/>
          <w:sz w:val="32"/>
          <w:szCs w:val="32"/>
          <w:highlight w:val="none"/>
        </w:rPr>
        <w:t>规划和财政局的主要职责是：按规定拨付资金；监督专项资金使用。</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第六条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rPr>
        <w:t>佛山高新区各园管理局（以下简称各园管理局）的主要职责是：协助开展项目申报、评审及资金拨付等工作；按</w:t>
      </w:r>
      <w:r>
        <w:rPr>
          <w:rFonts w:hint="eastAsia" w:ascii="仿宋" w:hAnsi="仿宋" w:eastAsia="仿宋" w:cs="Times New Roman"/>
          <w:sz w:val="32"/>
          <w:szCs w:val="32"/>
          <w:highlight w:val="none"/>
        </w:rPr>
        <w:t>评审</w:t>
      </w:r>
      <w:r>
        <w:rPr>
          <w:rFonts w:ascii="仿宋" w:hAnsi="仿宋" w:eastAsia="仿宋" w:cs="Times New Roman"/>
          <w:sz w:val="32"/>
          <w:szCs w:val="32"/>
          <w:highlight w:val="none"/>
        </w:rPr>
        <w:t>结果</w:t>
      </w:r>
      <w:r>
        <w:rPr>
          <w:rFonts w:hint="eastAsia" w:ascii="仿宋" w:hAnsi="仿宋" w:eastAsia="仿宋" w:cs="Times New Roman"/>
          <w:sz w:val="32"/>
          <w:szCs w:val="32"/>
          <w:highlight w:val="none"/>
        </w:rPr>
        <w:t>及各</w:t>
      </w:r>
      <w:r>
        <w:rPr>
          <w:rFonts w:ascii="仿宋" w:hAnsi="仿宋" w:eastAsia="仿宋" w:cs="Times New Roman"/>
          <w:sz w:val="32"/>
          <w:szCs w:val="32"/>
          <w:highlight w:val="none"/>
        </w:rPr>
        <w:t>园政策兑现安排给予项目资金配套支持；对</w:t>
      </w:r>
      <w:r>
        <w:rPr>
          <w:rFonts w:ascii="仿宋" w:hAnsi="仿宋" w:eastAsia="仿宋" w:cs="Times New Roman"/>
          <w:sz w:val="32"/>
          <w:szCs w:val="32"/>
          <w:highlight w:val="none"/>
          <w:lang w:bidi="ar"/>
        </w:rPr>
        <w:t>辖区内项目承担（申报）单位资金的使用进行指导与监督</w:t>
      </w:r>
      <w:r>
        <w:rPr>
          <w:rFonts w:hint="eastAsia" w:ascii="仿宋" w:hAnsi="仿宋" w:eastAsia="仿宋" w:cs="Times New Roman"/>
          <w:sz w:val="32"/>
          <w:szCs w:val="32"/>
          <w:highlight w:val="none"/>
          <w:lang w:bidi="ar"/>
        </w:rPr>
        <w:t>，</w:t>
      </w:r>
      <w:r>
        <w:rPr>
          <w:rFonts w:hint="eastAsia" w:ascii="仿宋" w:hAnsi="仿宋" w:eastAsia="仿宋" w:cs="Times New Roman"/>
          <w:sz w:val="32"/>
          <w:szCs w:val="32"/>
          <w:highlight w:val="none"/>
        </w:rPr>
        <w:t>及时反映和纠正资助资金使用过程中存在的问题</w:t>
      </w:r>
      <w:r>
        <w:rPr>
          <w:rFonts w:ascii="仿宋" w:hAnsi="仿宋" w:eastAsia="仿宋" w:cs="Times New Roman"/>
          <w:sz w:val="32"/>
          <w:szCs w:val="32"/>
          <w:highlight w:val="none"/>
          <w:lang w:bidi="ar"/>
        </w:rPr>
        <w:t>；</w:t>
      </w:r>
      <w:r>
        <w:rPr>
          <w:rFonts w:ascii="仿宋" w:hAnsi="仿宋" w:eastAsia="仿宋" w:cs="Times New Roman"/>
          <w:sz w:val="32"/>
          <w:szCs w:val="32"/>
          <w:highlight w:val="none"/>
        </w:rPr>
        <w:t>接受</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局业务指导和监督</w:t>
      </w:r>
      <w:r>
        <w:rPr>
          <w:rFonts w:hint="eastAsia" w:ascii="仿宋" w:hAnsi="仿宋" w:eastAsia="仿宋" w:cs="Times New Roman"/>
          <w:sz w:val="32"/>
          <w:szCs w:val="32"/>
          <w:highlight w:val="none"/>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 w:cs="Times New Roman"/>
          <w:sz w:val="32"/>
          <w:szCs w:val="32"/>
          <w:highlight w:val="none"/>
          <w:u w:val="single"/>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ascii="黑体" w:hAnsi="黑体" w:eastAsia="黑体" w:cs="黑体"/>
          <w:sz w:val="32"/>
          <w:szCs w:val="32"/>
          <w:highlight w:val="none"/>
        </w:rPr>
        <w:t>第三章 申报条件</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七</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rPr>
        <w:t>申报知识产权创造和保护类资助的单位应符合下列条件：</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sz w:val="32"/>
          <w:szCs w:val="32"/>
          <w:highlight w:val="none"/>
        </w:rPr>
      </w:pPr>
      <w:r>
        <w:rPr>
          <w:rFonts w:ascii="楷体" w:hAnsi="楷体" w:eastAsia="楷体" w:cs="楷体"/>
          <w:b/>
          <w:bCs/>
          <w:color w:val="000000"/>
          <w:sz w:val="32"/>
          <w:szCs w:val="32"/>
          <w:highlight w:val="none"/>
          <w:shd w:val="clear" w:color="auto" w:fill="FFFFFF"/>
        </w:rPr>
        <w:t>（一）</w:t>
      </w:r>
      <w:r>
        <w:rPr>
          <w:rFonts w:hint="eastAsia" w:ascii="仿宋" w:hAnsi="仿宋" w:eastAsia="仿宋" w:cs="Times New Roman"/>
          <w:sz w:val="32"/>
          <w:szCs w:val="32"/>
          <w:highlight w:val="none"/>
        </w:rPr>
        <w:t>申报单位必须是在佛山高新区范围内依法设立并具有独立法人资格或纳入火炬统计的单位，信用记录良好。</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eastAsia="仿宋_GB2312"/>
          <w:sz w:val="32"/>
          <w:szCs w:val="32"/>
          <w:highlight w:val="none"/>
          <w:shd w:val="clear" w:color="auto" w:fill="FFFFFF"/>
        </w:rPr>
      </w:pPr>
      <w:r>
        <w:rPr>
          <w:rFonts w:ascii="楷体" w:hAnsi="楷体" w:eastAsia="楷体" w:cs="楷体"/>
          <w:b/>
          <w:bCs/>
          <w:color w:val="000000"/>
          <w:sz w:val="32"/>
          <w:szCs w:val="32"/>
          <w:highlight w:val="none"/>
          <w:shd w:val="clear" w:color="auto" w:fill="FFFFFF"/>
        </w:rPr>
        <w:t>（</w:t>
      </w:r>
      <w:r>
        <w:rPr>
          <w:rFonts w:hint="eastAsia" w:ascii="楷体" w:hAnsi="楷体" w:eastAsia="楷体" w:cs="楷体"/>
          <w:b/>
          <w:bCs/>
          <w:color w:val="000000"/>
          <w:sz w:val="32"/>
          <w:szCs w:val="32"/>
          <w:highlight w:val="none"/>
          <w:shd w:val="clear" w:color="auto" w:fill="FFFFFF"/>
        </w:rPr>
        <w:t>二</w:t>
      </w:r>
      <w:r>
        <w:rPr>
          <w:rFonts w:ascii="楷体" w:hAnsi="楷体" w:eastAsia="楷体" w:cs="楷体"/>
          <w:b/>
          <w:bCs/>
          <w:color w:val="000000"/>
          <w:sz w:val="32"/>
          <w:szCs w:val="32"/>
          <w:highlight w:val="none"/>
          <w:shd w:val="clear" w:color="auto" w:fill="FFFFFF"/>
        </w:rPr>
        <w:t>）</w:t>
      </w:r>
      <w:r>
        <w:rPr>
          <w:rFonts w:hint="eastAsia" w:ascii="仿宋" w:hAnsi="仿宋" w:eastAsia="仿宋"/>
          <w:sz w:val="32"/>
          <w:szCs w:val="32"/>
          <w:highlight w:val="none"/>
          <w:shd w:val="clear" w:color="auto" w:fill="FFFFFF"/>
        </w:rPr>
        <w:t>近三年内未发生重大安全事故、重大环境污染事故、无偷税漏税等违法违规情形</w:t>
      </w:r>
      <w:r>
        <w:rPr>
          <w:rFonts w:ascii="仿宋" w:hAnsi="仿宋" w:eastAsia="仿宋"/>
          <w:sz w:val="32"/>
          <w:szCs w:val="32"/>
          <w:highlight w:val="none"/>
        </w:rPr>
        <w:t>。</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bCs/>
          <w:sz w:val="32"/>
          <w:szCs w:val="32"/>
          <w:highlight w:val="none"/>
        </w:rPr>
      </w:pPr>
      <w:r>
        <w:rPr>
          <w:rFonts w:ascii="楷体" w:hAnsi="楷体" w:eastAsia="楷体" w:cs="楷体"/>
          <w:b/>
          <w:bCs/>
          <w:color w:val="000000"/>
          <w:sz w:val="32"/>
          <w:szCs w:val="32"/>
          <w:highlight w:val="none"/>
          <w:shd w:val="clear" w:color="auto" w:fill="FFFFFF"/>
        </w:rPr>
        <w:t>（</w:t>
      </w:r>
      <w:r>
        <w:rPr>
          <w:rFonts w:hint="eastAsia" w:ascii="楷体" w:hAnsi="楷体" w:eastAsia="楷体" w:cs="楷体"/>
          <w:b/>
          <w:bCs/>
          <w:color w:val="000000"/>
          <w:sz w:val="32"/>
          <w:szCs w:val="32"/>
          <w:highlight w:val="none"/>
          <w:shd w:val="clear" w:color="auto" w:fill="FFFFFF"/>
        </w:rPr>
        <w:t>三</w:t>
      </w:r>
      <w:r>
        <w:rPr>
          <w:rFonts w:ascii="楷体" w:hAnsi="楷体" w:eastAsia="楷体" w:cs="楷体"/>
          <w:b/>
          <w:bCs/>
          <w:color w:val="000000"/>
          <w:sz w:val="32"/>
          <w:szCs w:val="32"/>
          <w:highlight w:val="none"/>
          <w:shd w:val="clear" w:color="auto" w:fill="FFFFFF"/>
        </w:rPr>
        <w:t>）</w:t>
      </w:r>
      <w:r>
        <w:rPr>
          <w:rFonts w:ascii="仿宋" w:hAnsi="仿宋" w:eastAsia="仿宋" w:cs="Times New Roman"/>
          <w:bCs/>
          <w:sz w:val="32"/>
          <w:szCs w:val="32"/>
          <w:highlight w:val="none"/>
        </w:rPr>
        <w:t>申报发明专利授权</w:t>
      </w:r>
      <w:r>
        <w:rPr>
          <w:rFonts w:hint="eastAsia" w:ascii="仿宋" w:hAnsi="仿宋" w:eastAsia="仿宋" w:cs="Times New Roman"/>
          <w:bCs/>
          <w:sz w:val="32"/>
          <w:szCs w:val="32"/>
          <w:highlight w:val="none"/>
        </w:rPr>
        <w:t>资助</w:t>
      </w:r>
      <w:r>
        <w:rPr>
          <w:rFonts w:ascii="仿宋" w:hAnsi="仿宋" w:eastAsia="仿宋" w:cs="Times New Roman"/>
          <w:bCs/>
          <w:sz w:val="32"/>
          <w:szCs w:val="32"/>
          <w:highlight w:val="none"/>
        </w:rPr>
        <w:t>的单位还应满足以下条件：申报</w:t>
      </w:r>
      <w:r>
        <w:rPr>
          <w:rFonts w:ascii="仿宋" w:hAnsi="仿宋" w:eastAsia="仿宋" w:cs="Times New Roman"/>
          <w:sz w:val="32"/>
          <w:szCs w:val="32"/>
          <w:highlight w:val="none"/>
        </w:rPr>
        <w:t>单位</w:t>
      </w:r>
      <w:r>
        <w:rPr>
          <w:rFonts w:ascii="仿宋" w:hAnsi="仿宋" w:eastAsia="仿宋" w:cs="Times New Roman"/>
          <w:bCs/>
          <w:sz w:val="32"/>
          <w:szCs w:val="32"/>
          <w:highlight w:val="none"/>
        </w:rPr>
        <w:t>获得授权的发明专利具有市场应用前景，符合佛山高新区的产业发展规划和导向；</w:t>
      </w:r>
      <w:r>
        <w:rPr>
          <w:rFonts w:hint="eastAsia" w:ascii="仿宋" w:hAnsi="仿宋" w:eastAsia="仿宋" w:cs="Times New Roman"/>
          <w:bCs/>
          <w:sz w:val="32"/>
          <w:szCs w:val="32"/>
          <w:highlight w:val="none"/>
        </w:rPr>
        <w:t>申报资助的专利为上年度获得授权、现行有效的专利，且只对第一专利权人进行资助</w:t>
      </w:r>
      <w:r>
        <w:rPr>
          <w:rFonts w:ascii="仿宋" w:hAnsi="仿宋" w:eastAsia="仿宋" w:cs="Times New Roman"/>
          <w:bCs/>
          <w:sz w:val="32"/>
          <w:szCs w:val="32"/>
          <w:highlight w:val="none"/>
        </w:rPr>
        <w:t>；该专利从申请专利至申报</w:t>
      </w:r>
      <w:r>
        <w:rPr>
          <w:rFonts w:hint="eastAsia" w:ascii="仿宋" w:hAnsi="仿宋" w:eastAsia="仿宋" w:cs="Times New Roman"/>
          <w:bCs/>
          <w:sz w:val="32"/>
          <w:szCs w:val="32"/>
          <w:highlight w:val="none"/>
        </w:rPr>
        <w:t>资助</w:t>
      </w:r>
      <w:r>
        <w:rPr>
          <w:rFonts w:ascii="仿宋" w:hAnsi="仿宋" w:eastAsia="仿宋" w:cs="Times New Roman"/>
          <w:bCs/>
          <w:sz w:val="32"/>
          <w:szCs w:val="32"/>
          <w:highlight w:val="none"/>
        </w:rPr>
        <w:t>期间，专利权属地未发生变更，仍</w:t>
      </w:r>
      <w:r>
        <w:rPr>
          <w:rFonts w:hint="eastAsia" w:ascii="仿宋" w:hAnsi="仿宋" w:eastAsia="仿宋" w:cs="Times New Roman"/>
          <w:bCs/>
          <w:sz w:val="32"/>
          <w:szCs w:val="32"/>
          <w:highlight w:val="none"/>
        </w:rPr>
        <w:t>位于佛山高新区范围内。</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bCs/>
          <w:sz w:val="32"/>
          <w:szCs w:val="32"/>
          <w:highlight w:val="none"/>
        </w:rPr>
      </w:pPr>
      <w:r>
        <w:rPr>
          <w:rFonts w:ascii="楷体" w:hAnsi="楷体" w:eastAsia="楷体" w:cs="楷体"/>
          <w:b/>
          <w:bCs/>
          <w:color w:val="000000"/>
          <w:sz w:val="32"/>
          <w:szCs w:val="32"/>
          <w:highlight w:val="none"/>
          <w:shd w:val="clear" w:color="auto" w:fill="FFFFFF"/>
        </w:rPr>
        <w:t>（</w:t>
      </w:r>
      <w:r>
        <w:rPr>
          <w:rFonts w:hint="eastAsia" w:ascii="楷体" w:hAnsi="楷体" w:eastAsia="楷体" w:cs="楷体"/>
          <w:b/>
          <w:bCs/>
          <w:color w:val="000000"/>
          <w:sz w:val="32"/>
          <w:szCs w:val="32"/>
          <w:highlight w:val="none"/>
          <w:shd w:val="clear" w:color="auto" w:fill="FFFFFF"/>
        </w:rPr>
        <w:t>四</w:t>
      </w:r>
      <w:r>
        <w:rPr>
          <w:rFonts w:ascii="楷体" w:hAnsi="楷体" w:eastAsia="楷体" w:cs="楷体"/>
          <w:b/>
          <w:bCs/>
          <w:color w:val="000000"/>
          <w:sz w:val="32"/>
          <w:szCs w:val="32"/>
          <w:highlight w:val="none"/>
          <w:shd w:val="clear" w:color="auto" w:fill="FFFFFF"/>
        </w:rPr>
        <w:t>）</w:t>
      </w:r>
      <w:r>
        <w:rPr>
          <w:rFonts w:ascii="仿宋" w:hAnsi="仿宋" w:eastAsia="仿宋" w:cs="Times New Roman"/>
          <w:bCs/>
          <w:sz w:val="32"/>
          <w:szCs w:val="32"/>
          <w:highlight w:val="none"/>
        </w:rPr>
        <w:t>申报PCT国际专利</w:t>
      </w:r>
      <w:r>
        <w:rPr>
          <w:rFonts w:hint="eastAsia" w:ascii="仿宋" w:hAnsi="仿宋" w:eastAsia="仿宋" w:cs="Times New Roman"/>
          <w:bCs/>
          <w:sz w:val="32"/>
          <w:szCs w:val="32"/>
          <w:highlight w:val="none"/>
        </w:rPr>
        <w:t>资助</w:t>
      </w:r>
      <w:r>
        <w:rPr>
          <w:rFonts w:ascii="仿宋" w:hAnsi="仿宋" w:eastAsia="仿宋" w:cs="Times New Roman"/>
          <w:bCs/>
          <w:sz w:val="32"/>
          <w:szCs w:val="32"/>
          <w:highlight w:val="none"/>
        </w:rPr>
        <w:t>的单位还应满足以下条件：按照《专利合作条约》提出并获得PCT国际检索报告和国际检索单位书面意见，至少一项权利要求同时获得新颖性、创造性、实用性的肯定意见，具有授权前景。</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仿宋" w:hAnsi="仿宋" w:eastAsia="仿宋" w:cs="Times New Roman"/>
          <w:bCs/>
          <w:sz w:val="32"/>
          <w:szCs w:val="32"/>
          <w:highlight w:val="none"/>
        </w:rPr>
      </w:pPr>
      <w:r>
        <w:rPr>
          <w:rFonts w:ascii="楷体" w:hAnsi="楷体" w:eastAsia="楷体" w:cs="楷体"/>
          <w:b/>
          <w:bCs/>
          <w:color w:val="000000"/>
          <w:sz w:val="32"/>
          <w:szCs w:val="32"/>
          <w:highlight w:val="none"/>
          <w:shd w:val="clear" w:color="auto" w:fill="FFFFFF"/>
        </w:rPr>
        <w:t>（</w:t>
      </w:r>
      <w:r>
        <w:rPr>
          <w:rFonts w:hint="eastAsia" w:ascii="楷体" w:hAnsi="楷体" w:eastAsia="楷体" w:cs="楷体"/>
          <w:b/>
          <w:bCs/>
          <w:color w:val="000000"/>
          <w:sz w:val="32"/>
          <w:szCs w:val="32"/>
          <w:highlight w:val="none"/>
          <w:shd w:val="clear" w:color="auto" w:fill="FFFFFF"/>
        </w:rPr>
        <w:t>五</w:t>
      </w:r>
      <w:r>
        <w:rPr>
          <w:rFonts w:ascii="楷体" w:hAnsi="楷体" w:eastAsia="楷体" w:cs="楷体"/>
          <w:b/>
          <w:bCs/>
          <w:color w:val="000000"/>
          <w:sz w:val="32"/>
          <w:szCs w:val="32"/>
          <w:highlight w:val="none"/>
          <w:shd w:val="clear" w:color="auto" w:fill="FFFFFF"/>
        </w:rPr>
        <w:t>）</w:t>
      </w:r>
      <w:r>
        <w:rPr>
          <w:rFonts w:ascii="仿宋" w:hAnsi="仿宋" w:eastAsia="仿宋" w:cs="Times New Roman"/>
          <w:bCs/>
          <w:sz w:val="32"/>
          <w:szCs w:val="32"/>
          <w:highlight w:val="none"/>
        </w:rPr>
        <w:t>申报海外商标</w:t>
      </w:r>
      <w:r>
        <w:rPr>
          <w:rFonts w:hint="eastAsia" w:ascii="仿宋" w:hAnsi="仿宋" w:eastAsia="仿宋" w:cs="Times New Roman"/>
          <w:bCs/>
          <w:sz w:val="32"/>
          <w:szCs w:val="32"/>
          <w:highlight w:val="none"/>
        </w:rPr>
        <w:t>资助</w:t>
      </w:r>
      <w:r>
        <w:rPr>
          <w:rFonts w:ascii="仿宋" w:hAnsi="仿宋" w:eastAsia="仿宋" w:cs="Times New Roman"/>
          <w:bCs/>
          <w:sz w:val="32"/>
          <w:szCs w:val="32"/>
          <w:highlight w:val="none"/>
        </w:rPr>
        <w:t>的单位还应满足以下条件：上一年度取得境外商标注册，以商标注册证书记载的注册时间或者境外商标注册证书的签发时间为准。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八</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bookmarkStart w:id="0" w:name="_Hlk53994992"/>
      <w:r>
        <w:rPr>
          <w:rFonts w:ascii="仿宋" w:hAnsi="仿宋" w:eastAsia="仿宋" w:cs="Times New Roman"/>
          <w:sz w:val="32"/>
          <w:szCs w:val="32"/>
          <w:highlight w:val="none"/>
        </w:rPr>
        <w:t>申报知识产权运用类资助</w:t>
      </w:r>
      <w:bookmarkEnd w:id="0"/>
      <w:r>
        <w:rPr>
          <w:rFonts w:ascii="仿宋" w:hAnsi="仿宋" w:eastAsia="仿宋" w:cs="Times New Roman"/>
          <w:sz w:val="32"/>
          <w:szCs w:val="32"/>
          <w:highlight w:val="none"/>
        </w:rPr>
        <w:t>的单位应符合下列条件：</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ascii="楷体" w:hAnsi="楷体" w:eastAsia="楷体" w:cs="楷体"/>
          <w:b/>
          <w:bCs/>
          <w:color w:val="000000"/>
          <w:sz w:val="32"/>
          <w:szCs w:val="32"/>
          <w:highlight w:val="none"/>
          <w:shd w:val="clear" w:color="auto" w:fill="FFFFFF"/>
        </w:rPr>
        <w:t>（一）</w:t>
      </w:r>
      <w:r>
        <w:rPr>
          <w:rFonts w:ascii="仿宋" w:hAnsi="仿宋" w:eastAsia="仿宋" w:cs="Times New Roman"/>
          <w:sz w:val="32"/>
          <w:szCs w:val="32"/>
          <w:highlight w:val="none"/>
        </w:rPr>
        <w:t>申报单位必须是在佛山高新区范围内</w:t>
      </w:r>
      <w:r>
        <w:rPr>
          <w:rFonts w:hint="eastAsia" w:ascii="仿宋" w:hAnsi="仿宋" w:eastAsia="仿宋" w:cs="Times New Roman"/>
          <w:sz w:val="32"/>
          <w:szCs w:val="32"/>
          <w:highlight w:val="none"/>
        </w:rPr>
        <w:t>或纳入火炬统计</w:t>
      </w:r>
      <w:r>
        <w:rPr>
          <w:rFonts w:ascii="仿宋" w:hAnsi="仿宋" w:eastAsia="仿宋" w:cs="Times New Roman"/>
          <w:sz w:val="32"/>
          <w:szCs w:val="32"/>
          <w:highlight w:val="none"/>
        </w:rPr>
        <w:t>的企事业单位及其分支机构</w:t>
      </w:r>
      <w:r>
        <w:rPr>
          <w:rFonts w:hint="eastAsia" w:ascii="仿宋" w:hAnsi="仿宋" w:eastAsia="仿宋" w:cs="Times New Roman"/>
          <w:sz w:val="32"/>
          <w:szCs w:val="32"/>
          <w:highlight w:val="none"/>
        </w:rPr>
        <w:t>，信用记录良好</w:t>
      </w:r>
      <w:r>
        <w:rPr>
          <w:rFonts w:ascii="仿宋" w:hAnsi="仿宋" w:eastAsia="仿宋" w:cs="Times New Roman"/>
          <w:sz w:val="32"/>
          <w:szCs w:val="32"/>
          <w:highlight w:val="none"/>
        </w:rPr>
        <w:t>。</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Times New Roman" w:hAnsi="Times New Roman" w:eastAsia="仿宋_GB2312" w:cs="Times New Roman"/>
          <w:bCs/>
          <w:sz w:val="32"/>
          <w:szCs w:val="32"/>
          <w:highlight w:val="none"/>
        </w:rPr>
      </w:pPr>
      <w:r>
        <w:rPr>
          <w:rFonts w:ascii="楷体" w:hAnsi="楷体" w:eastAsia="楷体" w:cs="楷体"/>
          <w:b/>
          <w:bCs/>
          <w:color w:val="000000"/>
          <w:sz w:val="32"/>
          <w:szCs w:val="32"/>
          <w:highlight w:val="none"/>
          <w:shd w:val="clear" w:color="auto" w:fill="FFFFFF"/>
        </w:rPr>
        <w:t>（二）</w:t>
      </w:r>
      <w:r>
        <w:rPr>
          <w:rFonts w:ascii="仿宋" w:hAnsi="仿宋" w:eastAsia="仿宋" w:cs="Times New Roman"/>
          <w:sz w:val="32"/>
          <w:szCs w:val="32"/>
          <w:highlight w:val="none"/>
        </w:rPr>
        <w:t>申报单位知识产权工作机构健全、制度完善，配有专职知识产权工作人员，每年有相应的资金用于知识产权的创造、保护、运用和管理。</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Times New Roman" w:hAnsi="Times New Roman" w:eastAsia="仿宋_GB2312" w:cs="Times New Roman"/>
          <w:bCs/>
          <w:sz w:val="32"/>
          <w:szCs w:val="32"/>
          <w:highlight w:val="none"/>
        </w:rPr>
      </w:pPr>
      <w:r>
        <w:rPr>
          <w:rFonts w:ascii="楷体" w:hAnsi="楷体" w:eastAsia="楷体" w:cs="楷体"/>
          <w:b/>
          <w:bCs/>
          <w:color w:val="000000"/>
          <w:sz w:val="32"/>
          <w:szCs w:val="32"/>
          <w:highlight w:val="none"/>
          <w:shd w:val="clear" w:color="auto" w:fill="FFFFFF"/>
        </w:rPr>
        <w:t>（三）</w:t>
      </w:r>
      <w:r>
        <w:rPr>
          <w:rFonts w:ascii="仿宋" w:hAnsi="仿宋" w:eastAsia="仿宋" w:cs="Times New Roman"/>
          <w:sz w:val="32"/>
          <w:szCs w:val="32"/>
          <w:highlight w:val="none"/>
        </w:rPr>
        <w:t>作为质押物的知识产权（包括但不限于专利、商标、</w:t>
      </w:r>
      <w:r>
        <w:rPr>
          <w:rFonts w:hint="eastAsia" w:ascii="仿宋" w:hAnsi="仿宋" w:eastAsia="仿宋" w:cs="Times New Roman"/>
          <w:sz w:val="32"/>
          <w:szCs w:val="32"/>
          <w:highlight w:val="none"/>
        </w:rPr>
        <w:t>著作权</w:t>
      </w:r>
      <w:r>
        <w:rPr>
          <w:rFonts w:ascii="仿宋" w:hAnsi="仿宋" w:eastAsia="仿宋" w:cs="Times New Roman"/>
          <w:sz w:val="32"/>
          <w:szCs w:val="32"/>
          <w:highlight w:val="none"/>
        </w:rPr>
        <w:t>等）必须合法有效、权属清晰、法律状态明确。</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Times New Roman" w:hAnsi="Times New Roman" w:eastAsia="仿宋_GB2312" w:cs="Times New Roman"/>
          <w:bCs/>
          <w:sz w:val="32"/>
          <w:szCs w:val="32"/>
          <w:highlight w:val="none"/>
        </w:rPr>
      </w:pPr>
      <w:r>
        <w:rPr>
          <w:rFonts w:ascii="楷体" w:hAnsi="楷体" w:eastAsia="楷体" w:cs="楷体"/>
          <w:b/>
          <w:bCs/>
          <w:color w:val="000000"/>
          <w:sz w:val="32"/>
          <w:szCs w:val="32"/>
          <w:highlight w:val="none"/>
          <w:shd w:val="clear" w:color="auto" w:fill="FFFFFF"/>
        </w:rPr>
        <w:t>（四）</w:t>
      </w:r>
      <w:r>
        <w:rPr>
          <w:rFonts w:ascii="仿宋" w:hAnsi="仿宋" w:eastAsia="仿宋" w:cs="Times New Roman"/>
          <w:sz w:val="32"/>
          <w:szCs w:val="32"/>
          <w:highlight w:val="none"/>
        </w:rPr>
        <w:t>质押融资</w:t>
      </w:r>
      <w:r>
        <w:rPr>
          <w:rFonts w:hint="eastAsia" w:ascii="仿宋" w:hAnsi="仿宋" w:eastAsia="仿宋" w:cs="Times New Roman"/>
          <w:sz w:val="32"/>
          <w:szCs w:val="32"/>
          <w:highlight w:val="none"/>
        </w:rPr>
        <w:t>品种</w:t>
      </w:r>
      <w:r>
        <w:rPr>
          <w:rFonts w:ascii="仿宋" w:hAnsi="仿宋" w:eastAsia="仿宋" w:cs="Times New Roman"/>
          <w:sz w:val="32"/>
          <w:szCs w:val="32"/>
          <w:highlight w:val="none"/>
        </w:rPr>
        <w:t>包括各银行、小额贷款公司开展的贷款、票据、信用证等融资品种以及广东金融高新区股权交易中心的知识产权质押融资品种。</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ascii="Times New Roman" w:hAnsi="Times New Roman" w:eastAsia="仿宋_GB2312" w:cs="Times New Roman"/>
          <w:bCs/>
          <w:sz w:val="32"/>
          <w:szCs w:val="32"/>
          <w:highlight w:val="none"/>
        </w:rPr>
      </w:pPr>
      <w:r>
        <w:rPr>
          <w:rFonts w:ascii="楷体" w:hAnsi="楷体" w:eastAsia="楷体" w:cs="楷体"/>
          <w:b/>
          <w:bCs/>
          <w:color w:val="000000"/>
          <w:sz w:val="32"/>
          <w:szCs w:val="32"/>
          <w:highlight w:val="none"/>
          <w:shd w:val="clear" w:color="auto" w:fill="FFFFFF"/>
        </w:rPr>
        <w:t>（</w:t>
      </w:r>
      <w:r>
        <w:rPr>
          <w:rFonts w:hint="eastAsia" w:ascii="楷体" w:hAnsi="楷体" w:eastAsia="楷体" w:cs="楷体"/>
          <w:b/>
          <w:bCs/>
          <w:color w:val="000000"/>
          <w:sz w:val="32"/>
          <w:szCs w:val="32"/>
          <w:highlight w:val="none"/>
          <w:shd w:val="clear" w:color="auto" w:fill="FFFFFF"/>
        </w:rPr>
        <w:t>五</w:t>
      </w:r>
      <w:r>
        <w:rPr>
          <w:rFonts w:ascii="楷体" w:hAnsi="楷体" w:eastAsia="楷体" w:cs="楷体"/>
          <w:b/>
          <w:bCs/>
          <w:color w:val="000000"/>
          <w:sz w:val="32"/>
          <w:szCs w:val="32"/>
          <w:highlight w:val="none"/>
          <w:shd w:val="clear" w:color="auto" w:fill="FFFFFF"/>
        </w:rPr>
        <w:t>）</w:t>
      </w:r>
      <w:r>
        <w:rPr>
          <w:rFonts w:ascii="仿宋" w:hAnsi="仿宋" w:eastAsia="仿宋" w:cs="Times New Roman"/>
          <w:sz w:val="32"/>
          <w:szCs w:val="32"/>
          <w:highlight w:val="none"/>
        </w:rPr>
        <w:t>企业承诺申报材料真实可靠。</w:t>
      </w:r>
    </w:p>
    <w:p>
      <w:pPr>
        <w:keepNext w:val="0"/>
        <w:keepLines w:val="0"/>
        <w:pageBreakBefore w:val="0"/>
        <w:kinsoku/>
        <w:wordWrap/>
        <w:overflowPunct/>
        <w:topLinePunct w:val="0"/>
        <w:autoSpaceDN/>
        <w:bidi w:val="0"/>
        <w:adjustRightInd/>
        <w:snapToGrid/>
        <w:spacing w:line="560" w:lineRule="exact"/>
        <w:ind w:firstLine="643" w:firstLineChars="200"/>
        <w:textAlignment w:val="auto"/>
        <w:rPr>
          <w:rFonts w:eastAsia="仿宋_GB2312"/>
          <w:sz w:val="32"/>
          <w:szCs w:val="32"/>
          <w:highlight w:val="none"/>
          <w:shd w:val="clear" w:color="auto" w:fill="FFFFFF"/>
        </w:rPr>
      </w:pPr>
      <w:r>
        <w:rPr>
          <w:rFonts w:ascii="楷体" w:hAnsi="楷体" w:eastAsia="楷体" w:cs="楷体"/>
          <w:b/>
          <w:bCs/>
          <w:color w:val="000000"/>
          <w:sz w:val="32"/>
          <w:szCs w:val="32"/>
          <w:highlight w:val="none"/>
          <w:shd w:val="clear" w:color="auto" w:fill="FFFFFF"/>
        </w:rPr>
        <w:t>（</w:t>
      </w:r>
      <w:r>
        <w:rPr>
          <w:rFonts w:hint="eastAsia" w:ascii="楷体" w:hAnsi="楷体" w:eastAsia="楷体" w:cs="楷体"/>
          <w:b/>
          <w:bCs/>
          <w:color w:val="000000"/>
          <w:sz w:val="32"/>
          <w:szCs w:val="32"/>
          <w:highlight w:val="none"/>
          <w:shd w:val="clear" w:color="auto" w:fill="FFFFFF"/>
        </w:rPr>
        <w:t>六</w:t>
      </w:r>
      <w:r>
        <w:rPr>
          <w:rFonts w:ascii="楷体" w:hAnsi="楷体" w:eastAsia="楷体" w:cs="楷体"/>
          <w:b/>
          <w:bCs/>
          <w:color w:val="000000"/>
          <w:sz w:val="32"/>
          <w:szCs w:val="32"/>
          <w:highlight w:val="none"/>
          <w:shd w:val="clear" w:color="auto" w:fill="FFFFFF"/>
        </w:rPr>
        <w:t>）</w:t>
      </w:r>
      <w:r>
        <w:rPr>
          <w:rFonts w:hint="eastAsia" w:ascii="仿宋" w:hAnsi="仿宋" w:eastAsia="仿宋" w:cs="Times New Roman"/>
          <w:sz w:val="32"/>
          <w:szCs w:val="32"/>
          <w:highlight w:val="none"/>
        </w:rPr>
        <w:t>近三年内未发生重大安全事故、重大环境污染事故、无偷税漏税等违法违规情形</w:t>
      </w:r>
      <w:r>
        <w:rPr>
          <w:rFonts w:ascii="仿宋" w:hAnsi="仿宋" w:eastAsia="仿宋" w:cs="Times New Roman"/>
          <w:sz w:val="32"/>
          <w:szCs w:val="32"/>
          <w:highlight w:val="none"/>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cs="Times New Roman"/>
          <w:bCs/>
          <w:sz w:val="32"/>
          <w:szCs w:val="32"/>
          <w:highlight w:val="none"/>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bookmarkStart w:id="1" w:name="_Hlk53992725"/>
      <w:r>
        <w:rPr>
          <w:rFonts w:ascii="黑体" w:hAnsi="黑体" w:eastAsia="黑体" w:cs="黑体"/>
          <w:sz w:val="32"/>
          <w:szCs w:val="32"/>
          <w:highlight w:val="none"/>
        </w:rPr>
        <w:t>第四章 申报程序及资助政策</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bookmarkEnd w:id="1"/>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 w:cs="Times New Roman"/>
          <w:sz w:val="32"/>
          <w:szCs w:val="32"/>
          <w:highlight w:val="none"/>
        </w:rPr>
      </w:pPr>
      <w:r>
        <w:rPr>
          <w:rFonts w:ascii="Times New Roman" w:hAnsi="Times New Roman" w:eastAsia="黑体" w:cs="Times New Roman"/>
          <w:bCs/>
          <w:sz w:val="32"/>
          <w:szCs w:val="32"/>
          <w:highlight w:val="none"/>
          <w:lang w:bidi="ar"/>
        </w:rPr>
        <w:t>第</w:t>
      </w:r>
      <w:r>
        <w:rPr>
          <w:rFonts w:hint="eastAsia" w:ascii="Times New Roman" w:hAnsi="Times New Roman" w:eastAsia="黑体" w:cs="Times New Roman"/>
          <w:bCs/>
          <w:sz w:val="32"/>
          <w:szCs w:val="32"/>
          <w:highlight w:val="none"/>
          <w:lang w:bidi="ar"/>
        </w:rPr>
        <w:t>九</w:t>
      </w:r>
      <w:r>
        <w:rPr>
          <w:rFonts w:ascii="Times New Roman" w:hAnsi="Times New Roman" w:eastAsia="黑体" w:cs="Times New Roman"/>
          <w:bCs/>
          <w:sz w:val="32"/>
          <w:szCs w:val="32"/>
          <w:highlight w:val="none"/>
          <w:lang w:bidi="ar"/>
        </w:rPr>
        <w:t>条</w:t>
      </w:r>
      <w:r>
        <w:rPr>
          <w:rFonts w:ascii="Times New Roman" w:hAnsi="Times New Roman" w:eastAsia="仿宋" w:cs="Times New Roman"/>
          <w:sz w:val="32"/>
          <w:szCs w:val="32"/>
          <w:highlight w:val="none"/>
          <w:lang w:bidi="ar"/>
        </w:rPr>
        <w:t xml:space="preserve"> </w:t>
      </w:r>
      <w:r>
        <w:rPr>
          <w:rFonts w:ascii="仿宋" w:hAnsi="仿宋" w:eastAsia="仿宋" w:cs="Times New Roman"/>
          <w:sz w:val="32"/>
          <w:szCs w:val="32"/>
          <w:highlight w:val="none"/>
          <w:lang w:bidi="ar"/>
        </w:rPr>
        <w:t>佛山高新区管委会按照“申报、评审、审议、公示</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公布”流程，</w:t>
      </w:r>
      <w:r>
        <w:rPr>
          <w:rFonts w:hint="eastAsia" w:ascii="仿宋" w:hAnsi="仿宋" w:eastAsia="仿宋" w:cs="Times New Roman"/>
          <w:sz w:val="32"/>
          <w:szCs w:val="32"/>
          <w:highlight w:val="none"/>
          <w:lang w:bidi="ar"/>
        </w:rPr>
        <w:t>每年</w:t>
      </w:r>
      <w:r>
        <w:rPr>
          <w:rFonts w:ascii="仿宋" w:hAnsi="仿宋" w:eastAsia="仿宋" w:cs="Times New Roman"/>
          <w:sz w:val="32"/>
          <w:szCs w:val="32"/>
          <w:highlight w:val="none"/>
          <w:lang w:bidi="ar"/>
        </w:rPr>
        <w:t>开展</w:t>
      </w:r>
      <w:r>
        <w:rPr>
          <w:rFonts w:ascii="仿宋" w:hAnsi="仿宋" w:eastAsia="仿宋" w:cs="Times New Roman"/>
          <w:sz w:val="32"/>
          <w:szCs w:val="32"/>
          <w:highlight w:val="none"/>
        </w:rPr>
        <w:t>知识产权创造、保护和运用</w:t>
      </w:r>
      <w:r>
        <w:rPr>
          <w:rFonts w:hint="eastAsia" w:ascii="仿宋" w:hAnsi="仿宋" w:eastAsia="仿宋" w:cs="Times New Roman"/>
          <w:sz w:val="32"/>
          <w:szCs w:val="32"/>
          <w:highlight w:val="none"/>
        </w:rPr>
        <w:t>资助</w:t>
      </w:r>
      <w:r>
        <w:rPr>
          <w:rFonts w:ascii="仿宋" w:hAnsi="仿宋" w:eastAsia="仿宋" w:cs="Times New Roman"/>
          <w:sz w:val="32"/>
          <w:szCs w:val="32"/>
          <w:highlight w:val="none"/>
        </w:rPr>
        <w:t>的申报</w:t>
      </w:r>
      <w:r>
        <w:rPr>
          <w:rFonts w:hint="eastAsia" w:ascii="仿宋" w:hAnsi="仿宋" w:eastAsia="仿宋" w:cs="Times New Roman"/>
          <w:sz w:val="32"/>
          <w:szCs w:val="32"/>
          <w:highlight w:val="none"/>
        </w:rPr>
        <w:t>审核</w:t>
      </w:r>
      <w:r>
        <w:rPr>
          <w:rFonts w:ascii="仿宋" w:hAnsi="仿宋" w:eastAsia="仿宋" w:cs="Times New Roman"/>
          <w:sz w:val="32"/>
          <w:szCs w:val="32"/>
          <w:highlight w:val="none"/>
          <w:lang w:bidi="ar"/>
        </w:rPr>
        <w:t>工作。</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（一）申报</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1.</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编制申报指南及通知，明确支持对象、组织形式、申报要求、申报时间、申报流程、材料要求等内容，申报指南和通知在“佛山扶持通”进行发布。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2.申报单位登陆“佛山扶持通”，按照当年度发布的申报指南及通知要求在线填写申请表，并上传相关</w:t>
      </w:r>
      <w:r>
        <w:rPr>
          <w:rFonts w:hint="eastAsia" w:ascii="仿宋" w:hAnsi="仿宋" w:eastAsia="仿宋" w:cs="Times New Roman"/>
          <w:sz w:val="32"/>
          <w:szCs w:val="32"/>
          <w:highlight w:val="none"/>
          <w:lang w:bidi="ar"/>
        </w:rPr>
        <w:t>材料</w:t>
      </w:r>
      <w:r>
        <w:rPr>
          <w:rFonts w:ascii="仿宋" w:hAnsi="仿宋" w:eastAsia="仿宋" w:cs="Times New Roman"/>
          <w:sz w:val="32"/>
          <w:szCs w:val="32"/>
          <w:highlight w:val="none"/>
          <w:lang w:bidi="ar"/>
        </w:rPr>
        <w:t>。</w:t>
      </w:r>
      <w:r>
        <w:rPr>
          <w:rFonts w:ascii="仿宋" w:hAnsi="仿宋" w:eastAsia="仿宋" w:cs="Times New Roman"/>
          <w:iCs/>
          <w:sz w:val="32"/>
          <w:szCs w:val="32"/>
          <w:highlight w:val="none"/>
          <w:shd w:val="clear" w:color="auto" w:fill="FFFFFF"/>
          <w:lang w:bidi="ar"/>
        </w:rPr>
        <w:t>各园管理局对申报材料进行</w:t>
      </w:r>
      <w:r>
        <w:rPr>
          <w:rFonts w:ascii="仿宋" w:hAnsi="仿宋" w:eastAsia="仿宋" w:cs="Times New Roman"/>
          <w:sz w:val="32"/>
          <w:szCs w:val="32"/>
          <w:highlight w:val="none"/>
          <w:lang w:bidi="ar"/>
        </w:rPr>
        <w:t>初审。初审通过后，申报单位按要求提交纸质材料。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3.知识产权创造和保护类的申报材料包括以下内容：（1）佛山高新区知识产权创造和保护资助申请表；（2）佛山高新区项目申报单位信息表；（3）企业营业执照或事业单位法人证书；（4）申报单位获得授权的发明专利证书；（5）申报单位获得PCT国际检索报告和国际检索单位书面意见；（6）申报单位获得的境外商标注册证书</w:t>
      </w:r>
      <w:r>
        <w:rPr>
          <w:rFonts w:hint="eastAsia" w:ascii="仿宋" w:hAnsi="仿宋" w:eastAsia="仿宋" w:cs="Times New Roman"/>
          <w:sz w:val="32"/>
          <w:szCs w:val="32"/>
          <w:highlight w:val="none"/>
          <w:lang w:bidi="ar"/>
        </w:rPr>
        <w:t>；（7）申请</w:t>
      </w:r>
      <w:r>
        <w:rPr>
          <w:rFonts w:ascii="仿宋" w:hAnsi="仿宋" w:eastAsia="仿宋" w:cs="Times New Roman"/>
          <w:sz w:val="32"/>
          <w:szCs w:val="32"/>
          <w:highlight w:val="none"/>
          <w:lang w:bidi="ar"/>
        </w:rPr>
        <w:t>承诺书。</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lang w:bidi="ar"/>
        </w:rPr>
      </w:pPr>
      <w:r>
        <w:rPr>
          <w:rFonts w:ascii="仿宋" w:hAnsi="仿宋" w:eastAsia="仿宋" w:cs="Times New Roman"/>
          <w:sz w:val="32"/>
          <w:szCs w:val="32"/>
          <w:highlight w:val="none"/>
          <w:lang w:bidi="ar"/>
        </w:rPr>
        <w:t>4.知识产权运用类的申报材料包括以下内容：（1）佛山高新区知识产权质押融资贷款资助申请表；（2）佛山高新区项目申报单位信息表；（3）企业营业执照或事业单位法人证书；（4）贷款对应的专利质押登记通知书、商标专用权质权登记证；（5）申报单位与</w:t>
      </w:r>
      <w:r>
        <w:rPr>
          <w:rFonts w:hint="eastAsia" w:ascii="仿宋" w:hAnsi="仿宋" w:eastAsia="仿宋" w:cs="Times New Roman"/>
          <w:sz w:val="32"/>
          <w:szCs w:val="32"/>
          <w:highlight w:val="none"/>
          <w:lang w:bidi="ar"/>
        </w:rPr>
        <w:t>相关金融机构</w:t>
      </w:r>
      <w:r>
        <w:rPr>
          <w:rFonts w:ascii="仿宋" w:hAnsi="仿宋" w:eastAsia="仿宋" w:cs="Times New Roman"/>
          <w:sz w:val="32"/>
          <w:szCs w:val="32"/>
          <w:highlight w:val="none"/>
          <w:lang w:bidi="ar"/>
        </w:rPr>
        <w:t>签订的贷款合同、质押合同，贷款到账、已偿还贷款本金和支付相应利息凭证；（6）贷款对应的知识产权评估合同、知识产权评估报告、评估费发票及付款凭证；（7）项目实施效果评估报告；（8）申报单位对申报材料真实性声明</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9</w:t>
      </w:r>
      <w:r>
        <w:rPr>
          <w:rFonts w:ascii="仿宋" w:hAnsi="仿宋" w:eastAsia="仿宋" w:cs="Times New Roman"/>
          <w:sz w:val="32"/>
          <w:szCs w:val="32"/>
          <w:highlight w:val="none"/>
          <w:lang w:bidi="ar"/>
        </w:rPr>
        <w:t>）</w:t>
      </w:r>
      <w:r>
        <w:rPr>
          <w:rFonts w:hint="eastAsia" w:ascii="仿宋" w:hAnsi="仿宋" w:eastAsia="仿宋" w:cs="Times New Roman"/>
          <w:sz w:val="32"/>
          <w:szCs w:val="32"/>
          <w:highlight w:val="none"/>
          <w:lang w:bidi="ar"/>
        </w:rPr>
        <w:t>申请</w:t>
      </w:r>
      <w:r>
        <w:rPr>
          <w:rFonts w:ascii="仿宋" w:hAnsi="仿宋" w:eastAsia="仿宋" w:cs="Times New Roman"/>
          <w:sz w:val="32"/>
          <w:szCs w:val="32"/>
          <w:highlight w:val="none"/>
          <w:lang w:bidi="ar"/>
        </w:rPr>
        <w:t>承诺书。</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Times New Roman" w:hAnsi="Times New Roman" w:eastAsia="楷体" w:cs="Times New Roman"/>
          <w:b/>
          <w:bCs/>
          <w:sz w:val="32"/>
          <w:szCs w:val="32"/>
          <w:highlight w:val="none"/>
          <w:lang w:bidi="ar"/>
        </w:rPr>
      </w:pPr>
      <w:r>
        <w:rPr>
          <w:rFonts w:ascii="Times New Roman" w:hAnsi="Times New Roman" w:eastAsia="楷体" w:cs="Times New Roman"/>
          <w:b/>
          <w:bCs/>
          <w:sz w:val="32"/>
          <w:szCs w:val="32"/>
          <w:highlight w:val="none"/>
          <w:lang w:bidi="ar"/>
        </w:rPr>
        <w:t>（二）评审</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或委托第三方</w:t>
      </w:r>
      <w:r>
        <w:rPr>
          <w:rFonts w:hint="eastAsia" w:ascii="仿宋" w:hAnsi="仿宋" w:eastAsia="仿宋" w:cs="Times New Roman"/>
          <w:sz w:val="32"/>
          <w:szCs w:val="32"/>
          <w:highlight w:val="none"/>
          <w:lang w:bidi="ar"/>
        </w:rPr>
        <w:t>服务</w:t>
      </w:r>
      <w:r>
        <w:rPr>
          <w:rFonts w:ascii="仿宋" w:hAnsi="仿宋" w:eastAsia="仿宋" w:cs="Times New Roman"/>
          <w:sz w:val="32"/>
          <w:szCs w:val="32"/>
          <w:highlight w:val="none"/>
          <w:lang w:bidi="ar"/>
        </w:rPr>
        <w:t>机构进行评审，经书面评审程序后，形成佛山高新区知识产权创造和保护资助推荐名单、知识产权运用资助推荐名单。</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（三）审议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推荐名单经佛山高新区管委会主任办公会议讨论研究</w:t>
      </w:r>
      <w:r>
        <w:rPr>
          <w:rFonts w:hint="eastAsia" w:ascii="仿宋" w:hAnsi="仿宋" w:eastAsia="仿宋" w:cs="Times New Roman"/>
          <w:sz w:val="32"/>
          <w:szCs w:val="32"/>
          <w:highlight w:val="none"/>
          <w:lang w:bidi="ar"/>
        </w:rPr>
        <w:t>后</w:t>
      </w:r>
      <w:r>
        <w:rPr>
          <w:rFonts w:ascii="仿宋" w:hAnsi="仿宋" w:eastAsia="仿宋" w:cs="Times New Roman"/>
          <w:sz w:val="32"/>
          <w:szCs w:val="32"/>
          <w:highlight w:val="none"/>
          <w:lang w:bidi="ar"/>
        </w:rPr>
        <w:t>，形成拟支持名单。</w:t>
      </w:r>
    </w:p>
    <w:p>
      <w:pPr>
        <w:keepNext w:val="0"/>
        <w:keepLines w:val="0"/>
        <w:pageBreakBefore w:val="0"/>
        <w:kinsoku/>
        <w:wordWrap/>
        <w:overflowPunct/>
        <w:topLinePunct w:val="0"/>
        <w:autoSpaceDE w:val="0"/>
        <w:autoSpaceDN/>
        <w:bidi w:val="0"/>
        <w:adjustRightInd/>
        <w:snapToGrid/>
        <w:spacing w:line="560" w:lineRule="exact"/>
        <w:ind w:firstLine="643" w:firstLineChars="200"/>
        <w:textAlignment w:val="auto"/>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（四）公示</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仿宋" w:hAnsi="仿宋" w:eastAsia="仿宋" w:cs="Times New Roman"/>
          <w:sz w:val="32"/>
          <w:szCs w:val="32"/>
          <w:highlight w:val="none"/>
          <w:lang w:bidi="ar"/>
        </w:rPr>
      </w:pP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将拟支持名单在“佛山扶持通”进行公示，公示期为不低于5个工作日。公示期内接到相关异议的，由各园管理局配合</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调查核实并提出处理意见，</w:t>
      </w:r>
      <w:r>
        <w:rPr>
          <w:rFonts w:ascii="仿宋" w:hAnsi="仿宋" w:eastAsia="仿宋" w:cs="Times New Roman"/>
          <w:sz w:val="32"/>
          <w:highlight w:val="none"/>
        </w:rPr>
        <w:t>处理意见报佛山高新区管委会主任办公会议审核。</w:t>
      </w:r>
    </w:p>
    <w:p>
      <w:pPr>
        <w:keepNext w:val="0"/>
        <w:keepLines w:val="0"/>
        <w:pageBreakBefore w:val="0"/>
        <w:kinsoku/>
        <w:wordWrap/>
        <w:overflowPunct/>
        <w:topLinePunct w:val="0"/>
        <w:autoSpaceDE w:val="0"/>
        <w:autoSpaceDN/>
        <w:bidi w:val="0"/>
        <w:adjustRightInd/>
        <w:snapToGrid/>
        <w:spacing w:line="540" w:lineRule="exact"/>
        <w:ind w:firstLine="643" w:firstLineChars="200"/>
        <w:textAlignment w:val="auto"/>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（五）公布</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公示无异议</w:t>
      </w:r>
      <w:r>
        <w:rPr>
          <w:rFonts w:hint="eastAsia" w:ascii="仿宋" w:hAnsi="仿宋" w:eastAsia="仿宋" w:cs="Times New Roman"/>
          <w:sz w:val="32"/>
          <w:szCs w:val="32"/>
          <w:highlight w:val="none"/>
          <w:lang w:bidi="ar"/>
        </w:rPr>
        <w:t>或</w:t>
      </w:r>
      <w:r>
        <w:rPr>
          <w:rFonts w:ascii="仿宋" w:hAnsi="仿宋" w:eastAsia="仿宋" w:cs="Times New Roman"/>
          <w:sz w:val="32"/>
          <w:szCs w:val="32"/>
          <w:highlight w:val="none"/>
          <w:lang w:bidi="ar"/>
        </w:rPr>
        <w:t>异议不成立的，支持名单在“佛山扶持通”对外公开发布。</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仿宋" w:hAnsi="仿宋" w:eastAsia="仿宋" w:cs="Times New Roman"/>
          <w:sz w:val="32"/>
          <w:szCs w:val="32"/>
          <w:highlight w:val="none"/>
          <w:lang w:bidi="ar"/>
        </w:rPr>
      </w:pPr>
      <w:r>
        <w:rPr>
          <w:rFonts w:ascii="Times New Roman" w:hAnsi="Times New Roman" w:eastAsia="黑体" w:cs="Times New Roman"/>
          <w:sz w:val="32"/>
          <w:szCs w:val="32"/>
          <w:highlight w:val="none"/>
        </w:rPr>
        <w:t>第十条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lang w:bidi="ar"/>
        </w:rPr>
        <w:t>对上年度获得发明专利授权的</w:t>
      </w:r>
      <w:r>
        <w:rPr>
          <w:rFonts w:hint="eastAsia" w:ascii="仿宋" w:hAnsi="仿宋" w:eastAsia="仿宋" w:cs="Times New Roman"/>
          <w:sz w:val="32"/>
          <w:szCs w:val="32"/>
          <w:highlight w:val="none"/>
          <w:lang w:bidi="ar"/>
        </w:rPr>
        <w:t>申报单位</w:t>
      </w:r>
      <w:r>
        <w:rPr>
          <w:rFonts w:ascii="仿宋" w:hAnsi="仿宋" w:eastAsia="仿宋" w:cs="Times New Roman"/>
          <w:sz w:val="32"/>
          <w:szCs w:val="32"/>
          <w:highlight w:val="none"/>
          <w:lang w:bidi="ar"/>
        </w:rPr>
        <w:t>，每</w:t>
      </w:r>
      <w:r>
        <w:rPr>
          <w:rFonts w:hint="eastAsia" w:ascii="仿宋" w:hAnsi="仿宋" w:eastAsia="仿宋" w:cs="Times New Roman"/>
          <w:sz w:val="32"/>
          <w:szCs w:val="32"/>
          <w:highlight w:val="none"/>
          <w:lang w:bidi="ar"/>
        </w:rPr>
        <w:t>件</w:t>
      </w:r>
      <w:r>
        <w:rPr>
          <w:rFonts w:ascii="仿宋" w:hAnsi="仿宋" w:eastAsia="仿宋" w:cs="Times New Roman"/>
          <w:sz w:val="32"/>
          <w:szCs w:val="32"/>
          <w:highlight w:val="none"/>
          <w:lang w:bidi="ar"/>
        </w:rPr>
        <w:t>给予3000元后补助；对上年度成功提交PCT国际专利申请且具有符合本细则规定的</w:t>
      </w:r>
      <w:r>
        <w:rPr>
          <w:rFonts w:ascii="仿宋" w:hAnsi="仿宋" w:eastAsia="仿宋" w:cs="Times New Roman"/>
          <w:bCs/>
          <w:sz w:val="32"/>
          <w:szCs w:val="32"/>
          <w:highlight w:val="none"/>
        </w:rPr>
        <w:t>PCT国际检索报告和国际检索单位书面意见的</w:t>
      </w:r>
      <w:r>
        <w:rPr>
          <w:rFonts w:hint="eastAsia" w:ascii="仿宋" w:hAnsi="仿宋" w:eastAsia="仿宋" w:cs="Times New Roman"/>
          <w:sz w:val="32"/>
          <w:szCs w:val="32"/>
          <w:highlight w:val="none"/>
          <w:lang w:bidi="ar"/>
        </w:rPr>
        <w:t>申报单位</w:t>
      </w:r>
      <w:r>
        <w:rPr>
          <w:rFonts w:ascii="仿宋" w:hAnsi="仿宋" w:eastAsia="仿宋" w:cs="Times New Roman"/>
          <w:sz w:val="32"/>
          <w:szCs w:val="32"/>
          <w:highlight w:val="none"/>
          <w:lang w:bidi="ar"/>
        </w:rPr>
        <w:t>，每</w:t>
      </w:r>
      <w:r>
        <w:rPr>
          <w:rFonts w:hint="eastAsia" w:ascii="仿宋" w:hAnsi="仿宋" w:eastAsia="仿宋" w:cs="Times New Roman"/>
          <w:sz w:val="32"/>
          <w:szCs w:val="32"/>
          <w:highlight w:val="none"/>
          <w:lang w:bidi="ar"/>
        </w:rPr>
        <w:t>家单位</w:t>
      </w:r>
      <w:r>
        <w:rPr>
          <w:rFonts w:ascii="仿宋" w:hAnsi="仿宋" w:eastAsia="仿宋" w:cs="Times New Roman"/>
          <w:sz w:val="32"/>
          <w:szCs w:val="32"/>
          <w:highlight w:val="none"/>
          <w:lang w:bidi="ar"/>
        </w:rPr>
        <w:t>给予2万元后补助；对上年度新增拥有海外商标的</w:t>
      </w:r>
      <w:r>
        <w:rPr>
          <w:rFonts w:hint="eastAsia" w:ascii="仿宋" w:hAnsi="仿宋" w:eastAsia="仿宋" w:cs="Times New Roman"/>
          <w:sz w:val="32"/>
          <w:szCs w:val="32"/>
          <w:highlight w:val="none"/>
          <w:lang w:bidi="ar"/>
        </w:rPr>
        <w:t>申报单位</w:t>
      </w:r>
      <w:r>
        <w:rPr>
          <w:rFonts w:ascii="仿宋" w:hAnsi="仿宋" w:eastAsia="仿宋" w:cs="Times New Roman"/>
          <w:sz w:val="32"/>
          <w:szCs w:val="32"/>
          <w:highlight w:val="none"/>
          <w:lang w:bidi="ar"/>
        </w:rPr>
        <w:t>，每</w:t>
      </w:r>
      <w:r>
        <w:rPr>
          <w:rFonts w:hint="eastAsia" w:ascii="仿宋" w:hAnsi="仿宋" w:eastAsia="仿宋" w:cs="Times New Roman"/>
          <w:sz w:val="32"/>
          <w:szCs w:val="32"/>
          <w:highlight w:val="none"/>
          <w:lang w:bidi="ar"/>
        </w:rPr>
        <w:t>家单位</w:t>
      </w:r>
      <w:r>
        <w:rPr>
          <w:rFonts w:ascii="仿宋" w:hAnsi="仿宋" w:eastAsia="仿宋" w:cs="Times New Roman"/>
          <w:sz w:val="32"/>
          <w:szCs w:val="32"/>
          <w:highlight w:val="none"/>
          <w:lang w:bidi="ar"/>
        </w:rPr>
        <w:t>给予6000元后补助。</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仿宋" w:hAnsi="仿宋" w:eastAsia="仿宋" w:cs="Times New Roman"/>
          <w:sz w:val="32"/>
          <w:szCs w:val="32"/>
          <w:highlight w:val="none"/>
        </w:rPr>
      </w:pPr>
      <w:r>
        <w:rPr>
          <w:rFonts w:ascii="仿宋" w:hAnsi="仿宋" w:eastAsia="仿宋" w:cs="Times New Roman"/>
          <w:sz w:val="32"/>
          <w:szCs w:val="32"/>
          <w:highlight w:val="none"/>
        </w:rPr>
        <w:t>对符合条件的</w:t>
      </w:r>
      <w:r>
        <w:rPr>
          <w:rFonts w:hint="eastAsia" w:ascii="仿宋" w:hAnsi="仿宋" w:eastAsia="仿宋" w:cs="Times New Roman"/>
          <w:sz w:val="32"/>
          <w:szCs w:val="32"/>
          <w:highlight w:val="none"/>
        </w:rPr>
        <w:t>申报单位</w:t>
      </w:r>
      <w:r>
        <w:rPr>
          <w:rFonts w:ascii="仿宋" w:hAnsi="仿宋" w:eastAsia="仿宋" w:cs="Times New Roman"/>
          <w:sz w:val="32"/>
          <w:szCs w:val="32"/>
          <w:highlight w:val="none"/>
        </w:rPr>
        <w:t>通过知识产权质押贷款进行融资的，按照实际贷款利息的40%给予贴息支持，单家</w:t>
      </w:r>
      <w:r>
        <w:rPr>
          <w:rFonts w:hint="eastAsia" w:ascii="仿宋" w:hAnsi="仿宋" w:eastAsia="仿宋" w:cs="Times New Roman"/>
          <w:sz w:val="32"/>
          <w:szCs w:val="32"/>
          <w:highlight w:val="none"/>
          <w:lang w:bidi="ar"/>
        </w:rPr>
        <w:t>单位</w:t>
      </w:r>
      <w:r>
        <w:rPr>
          <w:rFonts w:ascii="仿宋" w:hAnsi="仿宋" w:eastAsia="仿宋" w:cs="Times New Roman"/>
          <w:sz w:val="32"/>
          <w:szCs w:val="32"/>
          <w:highlight w:val="none"/>
        </w:rPr>
        <w:t>年度补贴金额不超过50万元。</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Times New Roman" w:hAnsi="Times New Roman" w:eastAsia="仿宋_GB2312" w:cs="Times New Roman"/>
          <w:sz w:val="32"/>
          <w:szCs w:val="32"/>
          <w:highlight w:val="none"/>
          <w:lang w:bidi="ar"/>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一</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鼓励各园管理局根据实际给予配套支持。</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Times New Roman" w:hAnsi="Times New Roman" w:eastAsia="仿宋_GB2312" w:cs="Times New Roman"/>
          <w:sz w:val="32"/>
          <w:szCs w:val="32"/>
          <w:highlight w:val="none"/>
          <w:lang w:bidi="ar"/>
        </w:rPr>
      </w:pPr>
    </w:p>
    <w:p>
      <w:pPr>
        <w:keepNext w:val="0"/>
        <w:keepLines w:val="0"/>
        <w:pageBreakBefore w:val="0"/>
        <w:kinsoku/>
        <w:wordWrap/>
        <w:overflowPunct/>
        <w:topLinePunct w:val="0"/>
        <w:autoSpaceDN/>
        <w:bidi w:val="0"/>
        <w:adjustRightInd/>
        <w:snapToGrid/>
        <w:spacing w:line="540" w:lineRule="exact"/>
        <w:jc w:val="center"/>
        <w:textAlignment w:val="auto"/>
        <w:rPr>
          <w:rFonts w:ascii="黑体" w:hAnsi="黑体" w:eastAsia="黑体" w:cs="黑体"/>
          <w:sz w:val="32"/>
          <w:szCs w:val="32"/>
          <w:highlight w:val="none"/>
        </w:rPr>
      </w:pPr>
      <w:r>
        <w:rPr>
          <w:rFonts w:ascii="黑体" w:hAnsi="黑体" w:eastAsia="黑体" w:cs="黑体"/>
          <w:sz w:val="32"/>
          <w:szCs w:val="32"/>
          <w:highlight w:val="none"/>
        </w:rPr>
        <w:t>第五章 资金拨付及管理</w:t>
      </w:r>
    </w:p>
    <w:p>
      <w:pPr>
        <w:keepNext w:val="0"/>
        <w:keepLines w:val="0"/>
        <w:pageBreakBefore w:val="0"/>
        <w:kinsoku/>
        <w:wordWrap/>
        <w:overflowPunct/>
        <w:topLinePunct w:val="0"/>
        <w:autoSpaceDN/>
        <w:bidi w:val="0"/>
        <w:adjustRightInd/>
        <w:snapToGrid/>
        <w:spacing w:line="54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仿宋" w:hAnsi="仿宋" w:eastAsia="仿宋" w:cs="Times New Roman"/>
          <w:sz w:val="32"/>
          <w:szCs w:val="32"/>
          <w:highlight w:val="none"/>
          <w:lang w:bidi="ar"/>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二</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lang w:bidi="ar"/>
        </w:rPr>
        <w:t xml:space="preserve"> </w:t>
      </w:r>
      <w:r>
        <w:rPr>
          <w:rFonts w:ascii="仿宋" w:hAnsi="仿宋" w:eastAsia="仿宋" w:cs="Times New Roman"/>
          <w:sz w:val="32"/>
          <w:szCs w:val="32"/>
          <w:highlight w:val="none"/>
          <w:lang w:bidi="ar"/>
        </w:rPr>
        <w:t>知识产权创造、保护和运用支持名单公</w:t>
      </w:r>
      <w:r>
        <w:rPr>
          <w:rFonts w:hint="eastAsia" w:ascii="仿宋" w:hAnsi="仿宋" w:eastAsia="仿宋" w:cs="Times New Roman"/>
          <w:sz w:val="32"/>
          <w:szCs w:val="32"/>
          <w:highlight w:val="none"/>
          <w:lang w:bidi="ar"/>
        </w:rPr>
        <w:t>布</w:t>
      </w:r>
      <w:r>
        <w:rPr>
          <w:rFonts w:ascii="仿宋" w:hAnsi="仿宋" w:eastAsia="仿宋" w:cs="Times New Roman"/>
          <w:sz w:val="32"/>
          <w:szCs w:val="32"/>
          <w:highlight w:val="none"/>
          <w:lang w:bidi="ar"/>
        </w:rPr>
        <w:t>后，按照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财政专项经费支出管理办法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规定审批程序，做好资金支出审批。</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根据各园管理局项目申报情况，申请划拨对应项目资助资金给各园管理局，各园管理局划拨资助资金及配套支持资金（如有）至项目承担单位。</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三</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知识产权创造、保护和运用申报及资助实行信息公开管理，除涉及保密要求等特殊情况不予公开之外，按照</w:t>
      </w:r>
      <w:r>
        <w:rPr>
          <w:rFonts w:hint="eastAsia" w:ascii="仿宋" w:hAnsi="仿宋" w:eastAsia="仿宋" w:cs="Times New Roman"/>
          <w:sz w:val="32"/>
          <w:szCs w:val="32"/>
          <w:highlight w:val="none"/>
          <w:lang w:bidi="ar"/>
        </w:rPr>
        <w:t>《佛山高新技术产业开发区经济发展专项资金管理办法》</w:t>
      </w:r>
      <w:r>
        <w:rPr>
          <w:rFonts w:ascii="仿宋" w:hAnsi="仿宋" w:eastAsia="仿宋" w:cs="Times New Roman"/>
          <w:sz w:val="32"/>
          <w:szCs w:val="32"/>
          <w:highlight w:val="none"/>
          <w:lang w:bidi="ar"/>
        </w:rPr>
        <w:t>的相关规定在“佛山扶持通”进行公开，主动接受社会监督。</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Times New Roman" w:hAnsi="Times New Roman" w:eastAsia="仿宋_GB2312" w:cs="Times New Roman"/>
          <w:sz w:val="32"/>
          <w:szCs w:val="32"/>
          <w:highlight w:val="none"/>
          <w:lang w:bidi="ar"/>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四</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预算年度终了或预算执行完毕，由</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对当年度知识产权创造、保护和运用扶持资金的绩效指标完成情况和预算执行情况进行评价，形成自评报告报</w:t>
      </w:r>
      <w:r>
        <w:rPr>
          <w:rFonts w:hint="eastAsia" w:ascii="仿宋" w:hAnsi="仿宋" w:eastAsia="仿宋" w:cs="Times New Roman"/>
          <w:sz w:val="32"/>
          <w:szCs w:val="32"/>
          <w:highlight w:val="none"/>
        </w:rPr>
        <w:t>规划和</w:t>
      </w:r>
      <w:r>
        <w:rPr>
          <w:rFonts w:ascii="仿宋" w:hAnsi="仿宋" w:eastAsia="仿宋" w:cs="Times New Roman"/>
          <w:sz w:val="32"/>
          <w:szCs w:val="32"/>
          <w:highlight w:val="none"/>
        </w:rPr>
        <w:t>财政局</w:t>
      </w:r>
      <w:r>
        <w:rPr>
          <w:rFonts w:ascii="仿宋" w:hAnsi="仿宋" w:eastAsia="仿宋" w:cs="Times New Roman"/>
          <w:sz w:val="32"/>
          <w:szCs w:val="32"/>
          <w:highlight w:val="none"/>
          <w:lang w:bidi="ar"/>
        </w:rPr>
        <w:t>备案。绩效评价具体工作参照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经济发展专项资金管理办法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的相关规定开展。</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五</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ascii="Times New Roman" w:hAnsi="Times New Roman" w:eastAsia="仿宋" w:cs="Times New Roman"/>
          <w:sz w:val="32"/>
          <w:szCs w:val="32"/>
          <w:highlight w:val="none"/>
        </w:rPr>
      </w:pPr>
    </w:p>
    <w:p>
      <w:pPr>
        <w:keepNext w:val="0"/>
        <w:keepLines w:val="0"/>
        <w:pageBreakBefore w:val="0"/>
        <w:kinsoku/>
        <w:wordWrap/>
        <w:overflowPunct/>
        <w:topLinePunct w:val="0"/>
        <w:autoSpaceDN/>
        <w:bidi w:val="0"/>
        <w:adjustRightInd/>
        <w:snapToGrid/>
        <w:spacing w:line="540" w:lineRule="exact"/>
        <w:jc w:val="center"/>
        <w:textAlignment w:val="auto"/>
        <w:rPr>
          <w:rFonts w:ascii="黑体" w:hAnsi="黑体" w:eastAsia="黑体" w:cs="黑体"/>
          <w:sz w:val="32"/>
          <w:szCs w:val="32"/>
          <w:highlight w:val="none"/>
        </w:rPr>
      </w:pPr>
      <w:r>
        <w:rPr>
          <w:rFonts w:ascii="黑体" w:hAnsi="黑体" w:eastAsia="黑体" w:cs="黑体"/>
          <w:sz w:val="32"/>
          <w:szCs w:val="32"/>
          <w:highlight w:val="none"/>
        </w:rPr>
        <w:t xml:space="preserve">第六章 </w:t>
      </w:r>
      <w:bookmarkStart w:id="2" w:name="_Hlk53999480"/>
      <w:r>
        <w:rPr>
          <w:rFonts w:ascii="黑体" w:hAnsi="黑体" w:eastAsia="黑体" w:cs="黑体"/>
          <w:sz w:val="32"/>
          <w:szCs w:val="32"/>
          <w:highlight w:val="none"/>
        </w:rPr>
        <w:t>责任追究</w:t>
      </w:r>
    </w:p>
    <w:p>
      <w:pPr>
        <w:keepNext w:val="0"/>
        <w:keepLines w:val="0"/>
        <w:pageBreakBefore w:val="0"/>
        <w:kinsoku/>
        <w:wordWrap/>
        <w:overflowPunct/>
        <w:topLinePunct w:val="0"/>
        <w:autoSpaceDN/>
        <w:bidi w:val="0"/>
        <w:adjustRightInd/>
        <w:snapToGrid/>
        <w:spacing w:line="540" w:lineRule="exact"/>
        <w:jc w:val="center"/>
        <w:textAlignment w:val="auto"/>
        <w:rPr>
          <w:rFonts w:ascii="黑体" w:hAnsi="黑体" w:eastAsia="黑体" w:cs="黑体"/>
          <w:sz w:val="32"/>
          <w:szCs w:val="32"/>
          <w:highlight w:val="none"/>
        </w:rPr>
      </w:pPr>
    </w:p>
    <w:bookmarkEnd w:id="2"/>
    <w:p>
      <w:pPr>
        <w:keepNext w:val="0"/>
        <w:keepLines w:val="0"/>
        <w:pageBreakBefore w:val="0"/>
        <w:widowControl/>
        <w:kinsoku/>
        <w:wordWrap/>
        <w:overflowPunct/>
        <w:topLinePunct w:val="0"/>
        <w:autoSpaceDN/>
        <w:bidi w:val="0"/>
        <w:adjustRightInd/>
        <w:snapToGrid/>
        <w:spacing w:line="54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十六</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rPr>
        <w:t xml:space="preserve"> </w:t>
      </w:r>
      <w:r>
        <w:rPr>
          <w:rFonts w:ascii="仿宋" w:hAnsi="仿宋" w:eastAsia="仿宋" w:cs="Times New Roman"/>
          <w:sz w:val="32"/>
          <w:szCs w:val="32"/>
          <w:highlight w:val="none"/>
        </w:rPr>
        <w:t>对负责专项资金管理的佛山高新区管委会分管领导、部门领导、经办人员在专项资金评审、分配、审批过程中存在</w:t>
      </w:r>
      <w:r>
        <w:rPr>
          <w:rFonts w:hint="eastAsia" w:ascii="仿宋" w:hAnsi="仿宋" w:eastAsia="仿宋" w:cs="Times New Roman"/>
          <w:sz w:val="32"/>
          <w:szCs w:val="32"/>
          <w:highlight w:val="none"/>
        </w:rPr>
        <w:t>违纪违法</w:t>
      </w:r>
      <w:r>
        <w:rPr>
          <w:rFonts w:ascii="仿宋" w:hAnsi="仿宋" w:eastAsia="仿宋" w:cs="Times New Roman"/>
          <w:sz w:val="32"/>
          <w:szCs w:val="32"/>
          <w:highlight w:val="none"/>
        </w:rPr>
        <w:t>行为的，按照“谁审批、谁负责”的原则，视情节轻重承担相应责任。构成犯罪的，依法</w:t>
      </w:r>
      <w:r>
        <w:rPr>
          <w:rFonts w:hint="eastAsia" w:ascii="仿宋" w:hAnsi="仿宋" w:eastAsia="仿宋" w:cs="Times New Roman"/>
          <w:sz w:val="32"/>
          <w:szCs w:val="32"/>
          <w:highlight w:val="none"/>
        </w:rPr>
        <w:t>移送司法机关</w:t>
      </w:r>
      <w:r>
        <w:rPr>
          <w:rFonts w:ascii="仿宋" w:hAnsi="仿宋" w:eastAsia="仿宋" w:cs="Times New Roman"/>
          <w:sz w:val="32"/>
          <w:szCs w:val="32"/>
          <w:highlight w:val="none"/>
        </w:rPr>
        <w:t>。</w:t>
      </w:r>
    </w:p>
    <w:p>
      <w:pPr>
        <w:keepNext w:val="0"/>
        <w:keepLines w:val="0"/>
        <w:pageBreakBefore w:val="0"/>
        <w:widowControl/>
        <w:kinsoku/>
        <w:wordWrap/>
        <w:overflowPunct/>
        <w:topLinePunct w:val="0"/>
        <w:autoSpaceDN/>
        <w:bidi w:val="0"/>
        <w:adjustRightInd/>
        <w:snapToGrid/>
        <w:spacing w:line="54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十七</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项目承担单位在财政资金申报、管理、使用过程中存在违法违规行为的，依法依规作出严肃处理，追回专项资金，5年内</w:t>
      </w:r>
      <w:r>
        <w:rPr>
          <w:rFonts w:hint="eastAsia" w:ascii="仿宋" w:hAnsi="仿宋" w:eastAsia="仿宋" w:cs="Times New Roman"/>
          <w:sz w:val="32"/>
          <w:szCs w:val="32"/>
          <w:highlight w:val="none"/>
        </w:rPr>
        <w:t>停止</w:t>
      </w:r>
      <w:r>
        <w:rPr>
          <w:rFonts w:ascii="仿宋" w:hAnsi="仿宋" w:eastAsia="仿宋" w:cs="Times New Roman"/>
          <w:sz w:val="32"/>
          <w:szCs w:val="32"/>
          <w:highlight w:val="none"/>
        </w:rPr>
        <w:t>其申报专项资金资格，并向社会公开其违法违规信息。</w:t>
      </w:r>
    </w:p>
    <w:p>
      <w:pPr>
        <w:keepNext w:val="0"/>
        <w:keepLines w:val="0"/>
        <w:pageBreakBefore w:val="0"/>
        <w:kinsoku/>
        <w:wordWrap/>
        <w:overflowPunct/>
        <w:topLinePunct w:val="0"/>
        <w:autoSpaceDN/>
        <w:bidi w:val="0"/>
        <w:adjustRightInd/>
        <w:snapToGrid/>
        <w:spacing w:line="540" w:lineRule="exact"/>
        <w:ind w:firstLine="640" w:firstLineChars="200"/>
        <w:textAlignment w:val="auto"/>
        <w:rPr>
          <w:rFonts w:eastAsia="仿宋_GB2312"/>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十八</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仿宋" w:hAnsi="仿宋" w:eastAsia="仿宋"/>
          <w:sz w:val="32"/>
          <w:szCs w:val="32"/>
          <w:highlight w:val="none"/>
        </w:rPr>
        <w:t>第三方服务机构按照</w:t>
      </w:r>
      <w:r>
        <w:rPr>
          <w:rFonts w:hint="eastAsia" w:ascii="仿宋" w:hAnsi="仿宋" w:eastAsia="仿宋" w:cs="Times New Roman"/>
          <w:sz w:val="32"/>
          <w:szCs w:val="32"/>
          <w:highlight w:val="none"/>
        </w:rPr>
        <w:t>科技创新</w:t>
      </w:r>
      <w:r>
        <w:rPr>
          <w:rFonts w:hint="eastAsia" w:ascii="仿宋" w:hAnsi="仿宋" w:eastAsia="仿宋"/>
          <w:sz w:val="32"/>
          <w:szCs w:val="32"/>
          <w:highlight w:val="none"/>
        </w:rPr>
        <w:t>局委托事项要求开展具体事务性工作。对第三方服务机构在提供服务过程中存在违法违规行为的，应立即终止合作协议，取消其提供服务资格。</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 w:cs="Times New Roman"/>
          <w:sz w:val="32"/>
          <w:szCs w:val="32"/>
          <w:highlight w:val="none"/>
        </w:rPr>
      </w:pP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r>
        <w:rPr>
          <w:rFonts w:ascii="黑体" w:hAnsi="黑体" w:eastAsia="黑体" w:cs="黑体"/>
          <w:sz w:val="32"/>
          <w:szCs w:val="32"/>
          <w:highlight w:val="none"/>
        </w:rPr>
        <w:t>第七章 附 则</w:t>
      </w:r>
    </w:p>
    <w:p>
      <w:pPr>
        <w:keepNext w:val="0"/>
        <w:keepLines w:val="0"/>
        <w:pageBreakBefore w:val="0"/>
        <w:kinsoku/>
        <w:wordWrap/>
        <w:overflowPunct/>
        <w:topLinePunct w:val="0"/>
        <w:autoSpaceDN/>
        <w:bidi w:val="0"/>
        <w:adjustRightInd/>
        <w:snapToGrid/>
        <w:spacing w:line="560" w:lineRule="exact"/>
        <w:jc w:val="center"/>
        <w:textAlignment w:val="auto"/>
        <w:rPr>
          <w:rFonts w:ascii="黑体" w:hAnsi="黑体" w:eastAsia="黑体" w:cs="黑体"/>
          <w:sz w:val="32"/>
          <w:szCs w:val="32"/>
          <w:highlight w:val="none"/>
        </w:rPr>
      </w:pP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十九</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除政策明确规定额外奖补情况外，对符合本细则同时又符合佛山</w:t>
      </w:r>
      <w:r>
        <w:rPr>
          <w:rFonts w:hint="eastAsia" w:ascii="仿宋" w:hAnsi="仿宋" w:eastAsia="仿宋" w:cs="Times New Roman"/>
          <w:sz w:val="32"/>
          <w:szCs w:val="32"/>
          <w:highlight w:val="none"/>
        </w:rPr>
        <w:t>市</w:t>
      </w:r>
      <w:r>
        <w:rPr>
          <w:rFonts w:ascii="仿宋" w:hAnsi="仿宋" w:eastAsia="仿宋" w:cs="Times New Roman"/>
          <w:sz w:val="32"/>
          <w:szCs w:val="32"/>
          <w:highlight w:val="none"/>
        </w:rPr>
        <w:t>其他扶持政策规定的</w:t>
      </w:r>
      <w:r>
        <w:rPr>
          <w:rFonts w:hint="eastAsia" w:ascii="仿宋" w:hAnsi="仿宋" w:eastAsia="仿宋" w:cs="Times New Roman"/>
          <w:sz w:val="32"/>
          <w:szCs w:val="32"/>
          <w:highlight w:val="none"/>
        </w:rPr>
        <w:t>同类</w:t>
      </w:r>
      <w:r>
        <w:rPr>
          <w:rFonts w:ascii="仿宋" w:hAnsi="仿宋" w:eastAsia="仿宋" w:cs="Times New Roman"/>
          <w:sz w:val="32"/>
          <w:szCs w:val="32"/>
          <w:highlight w:val="none"/>
        </w:rPr>
        <w:t>事项，按照“从高不重复”原则给予支持。</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第二十条 </w:t>
      </w:r>
      <w:r>
        <w:rPr>
          <w:rFonts w:ascii="仿宋" w:hAnsi="仿宋" w:eastAsia="仿宋" w:cs="Times New Roman"/>
          <w:sz w:val="32"/>
          <w:szCs w:val="32"/>
          <w:highlight w:val="none"/>
        </w:rPr>
        <w:t>本细则由佛山高新区管委会负责解释。</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仿宋_GB2312" w:hAnsi="仿宋" w:eastAsia="仿宋_GB2312" w:cs="仿宋"/>
          <w:bCs/>
          <w:sz w:val="32"/>
          <w:szCs w:val="32"/>
          <w:highlight w:val="none"/>
        </w:rPr>
      </w:pPr>
      <w:r>
        <w:rPr>
          <w:rFonts w:ascii="Times New Roman" w:hAnsi="Times New Roman" w:eastAsia="黑体" w:cs="Times New Roman"/>
          <w:sz w:val="32"/>
          <w:szCs w:val="32"/>
          <w:highlight w:val="none"/>
        </w:rPr>
        <w:t>第二十</w:t>
      </w:r>
      <w:r>
        <w:rPr>
          <w:rFonts w:hint="eastAsia" w:ascii="Times New Roman" w:hAnsi="Times New Roman" w:eastAsia="黑体" w:cs="Times New Roman"/>
          <w:sz w:val="32"/>
          <w:szCs w:val="32"/>
          <w:highlight w:val="none"/>
        </w:rPr>
        <w:t>一</w:t>
      </w:r>
      <w:r>
        <w:rPr>
          <w:rFonts w:ascii="Times New Roman" w:hAnsi="Times New Roman" w:eastAsia="黑体" w:cs="Times New Roman"/>
          <w:sz w:val="32"/>
          <w:szCs w:val="32"/>
          <w:highlight w:val="none"/>
        </w:rPr>
        <w:t>条</w:t>
      </w:r>
      <w:r>
        <w:rPr>
          <w:rFonts w:ascii="仿宋" w:hAnsi="仿宋" w:eastAsia="仿宋" w:cs="Times New Roman"/>
          <w:bCs/>
          <w:sz w:val="32"/>
          <w:szCs w:val="32"/>
          <w:highlight w:val="none"/>
        </w:rPr>
        <w:t xml:space="preserve"> </w:t>
      </w:r>
      <w:r>
        <w:rPr>
          <w:rFonts w:ascii="仿宋" w:hAnsi="仿宋" w:eastAsia="仿宋" w:cs="Times New Roman"/>
          <w:sz w:val="32"/>
          <w:szCs w:val="32"/>
          <w:highlight w:val="none"/>
        </w:rPr>
        <w:t>本细则自</w:t>
      </w:r>
      <w:r>
        <w:rPr>
          <w:rFonts w:hint="eastAsia" w:ascii="仿宋" w:hAnsi="仿宋" w:eastAsia="仿宋" w:cs="Times New Roman"/>
          <w:sz w:val="32"/>
          <w:szCs w:val="32"/>
          <w:highlight w:val="none"/>
        </w:rPr>
        <w:t>印发之日</w:t>
      </w:r>
      <w:r>
        <w:rPr>
          <w:rFonts w:ascii="仿宋" w:hAnsi="仿宋" w:eastAsia="仿宋" w:cs="Times New Roman"/>
          <w:sz w:val="32"/>
          <w:szCs w:val="32"/>
          <w:highlight w:val="none"/>
        </w:rPr>
        <w:t>起实施，有效期</w:t>
      </w:r>
      <w:r>
        <w:rPr>
          <w:rFonts w:hint="eastAsia" w:ascii="仿宋" w:hAnsi="仿宋" w:eastAsia="仿宋" w:cs="Times New Roman"/>
          <w:sz w:val="32"/>
          <w:szCs w:val="32"/>
          <w:highlight w:val="none"/>
        </w:rPr>
        <w:t>3</w:t>
      </w:r>
      <w:r>
        <w:rPr>
          <w:rFonts w:ascii="仿宋" w:hAnsi="仿宋" w:eastAsia="仿宋" w:cs="Times New Roman"/>
          <w:sz w:val="32"/>
          <w:szCs w:val="32"/>
          <w:highlight w:val="none"/>
        </w:rPr>
        <w:t>年。</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N/>
        <w:bidi w:val="0"/>
        <w:adjustRightInd/>
        <w:snapToGrid/>
        <w:spacing w:line="560" w:lineRule="exact"/>
        <w:textAlignment w:val="auto"/>
        <w:rPr>
          <w:rFonts w:hint="eastAsia" w:ascii="仿宋" w:hAnsi="仿宋" w:eastAsia="仿宋" w:cs="仿宋"/>
          <w:sz w:val="32"/>
          <w:szCs w:val="32"/>
          <w:highlight w:val="none"/>
        </w:rPr>
      </w:pPr>
    </w:p>
    <w:p>
      <w:pPr>
        <w:pStyle w:val="2"/>
        <w:rPr>
          <w:rFonts w:hint="eastAsia" w:ascii="仿宋" w:hAnsi="仿宋" w:eastAsia="仿宋" w:cs="仿宋"/>
          <w:sz w:val="32"/>
          <w:szCs w:val="32"/>
          <w:highlight w:val="none"/>
        </w:rPr>
      </w:pPr>
    </w:p>
    <w:p>
      <w:pPr>
        <w:pStyle w:val="2"/>
        <w:ind w:left="0" w:leftChars="0" w:firstLine="0" w:firstLineChars="0"/>
        <w:rPr>
          <w:rFonts w:hint="eastAsia" w:ascii="仿宋" w:hAnsi="仿宋" w:eastAsia="仿宋" w:cs="仿宋"/>
          <w:sz w:val="32"/>
          <w:szCs w:val="32"/>
          <w:highlight w:val="none"/>
        </w:rPr>
      </w:pPr>
    </w:p>
    <w:p>
      <w:pPr>
        <w:pStyle w:val="2"/>
        <w:ind w:left="0" w:leftChars="0" w:firstLine="0" w:firstLineChars="0"/>
        <w:rPr>
          <w:rFonts w:hint="eastAsia" w:ascii="仿宋" w:hAnsi="仿宋" w:eastAsia="仿宋" w:cs="仿宋"/>
          <w:sz w:val="32"/>
          <w:szCs w:val="32"/>
          <w:highlight w:val="none"/>
        </w:rPr>
      </w:pPr>
    </w:p>
    <w:p>
      <w:pPr>
        <w:pStyle w:val="2"/>
        <w:ind w:left="0" w:leftChars="0" w:firstLine="0" w:firstLineChars="0"/>
        <w:rPr>
          <w:rFonts w:hint="eastAsia" w:ascii="仿宋" w:hAnsi="仿宋" w:eastAsia="仿宋" w:cs="仿宋"/>
          <w:sz w:val="32"/>
          <w:szCs w:val="32"/>
          <w:highlight w:val="none"/>
        </w:rPr>
      </w:pPr>
    </w:p>
    <w:p>
      <w:pPr>
        <w:pStyle w:val="2"/>
        <w:ind w:left="0" w:leftChars="0" w:firstLine="0" w:firstLineChars="0"/>
        <w:rPr>
          <w:rFonts w:hint="eastAsia" w:ascii="仿宋" w:hAnsi="仿宋" w:eastAsia="仿宋" w:cs="仿宋"/>
          <w:sz w:val="32"/>
          <w:szCs w:val="32"/>
          <w:highlight w:val="none"/>
        </w:rPr>
      </w:pPr>
    </w:p>
    <w:p>
      <w:pPr>
        <w:pStyle w:val="2"/>
        <w:ind w:left="0" w:leftChars="0" w:firstLine="0" w:firstLineChars="0"/>
        <w:rPr>
          <w:rFonts w:hint="eastAsia" w:ascii="仿宋" w:hAnsi="仿宋" w:eastAsia="仿宋" w:cs="仿宋"/>
          <w:sz w:val="32"/>
          <w:szCs w:val="32"/>
          <w:highlight w:val="none"/>
        </w:rPr>
      </w:pPr>
    </w:p>
    <w:p>
      <w:pPr>
        <w:pStyle w:val="2"/>
        <w:ind w:left="0" w:leftChars="0" w:firstLine="0" w:firstLineChars="0"/>
        <w:rPr>
          <w:rFonts w:hint="eastAsia" w:ascii="仿宋" w:hAnsi="仿宋" w:eastAsia="仿宋" w:cs="仿宋"/>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outlineLvl w:val="9"/>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N/>
        <w:bidi w:val="0"/>
        <w:adjustRightInd/>
        <w:snapToGrid/>
        <w:spacing w:line="560" w:lineRule="exact"/>
        <w:ind w:firstLine="240" w:firstLineChars="100"/>
        <w:textAlignment w:val="auto"/>
        <w:rPr>
          <w:rFonts w:hint="eastAsia" w:ascii="仿宋" w:hAnsi="仿宋" w:eastAsia="仿宋" w:cs="仿宋"/>
          <w:sz w:val="32"/>
          <w:szCs w:val="32"/>
          <w:highlight w:val="none"/>
        </w:rPr>
      </w:pPr>
      <w:r>
        <w:rPr>
          <w:rFonts w:hint="eastAsia" w:ascii="仿宋" w:hAnsi="仿宋" w:eastAsia="仿宋"/>
          <w:spacing w:val="-20"/>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33020</wp:posOffset>
                </wp:positionV>
                <wp:extent cx="55594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94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2.6pt;height:0pt;width:437.75pt;z-index:251662336;mso-width-relative:page;mso-height-relative:page;" filled="f" stroked="t" coordsize="21600,21600" o:gfxdata="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nt3kdMAAAAFAQAADwAAAAAA&#10;AAABACAAAAAiAAAAZHJzL2Rvd25yZXYueG1sUEsBAhQAFAAAAAgAh07iQKUw4vnfAQAApAMAAA4A&#10;AAAAAAAAAQAgAAAAIgEAAGRycy9lMm9Eb2MueG1sUEsFBgAAAAAGAAYAWQEAAHMFAAAAAA==&#10;">
                <v:fill on="f" focussize="0,0"/>
                <v:stroke color="#000000" joinstyle="round"/>
                <v:imagedata o:title=""/>
                <o:lock v:ext="edit" aspectratio="f"/>
              </v:line>
            </w:pict>
          </mc:Fallback>
        </mc:AlternateContent>
      </w:r>
      <w:r>
        <w:rPr>
          <w:rFonts w:hint="eastAsia" w:ascii="仿宋_GB2312" w:eastAsia="仿宋_GB2312"/>
          <w:spacing w:val="-20"/>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378460</wp:posOffset>
                </wp:positionV>
                <wp:extent cx="55594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594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8pt;height:0pt;width:437.75pt;z-index:251663360;mso-width-relative:page;mso-height-relative:page;" filled="f" stroked="t" coordsize="21600,21600" o:gfxdata="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mRxR9QAAAAGAQAADwAAAAAA&#10;AAABACAAAAAiAAAAZHJzL2Rvd25yZXYueG1sUEsBAhQAFAAAAAgAh07iQGqz+SLeAQAApAMAAA4A&#10;AAAAAAAAAQAgAAAAIwEAAGRycy9lMm9Eb2MueG1sUEsFBgAAAAAGAAYAWQEAAHMFAAAAAA==&#10;">
                <v:fill on="f" focussize="0,0"/>
                <v:stroke color="#000000" joinstyle="round"/>
                <v:imagedata o:title=""/>
                <o:lock v:ext="edit" aspectratio="f"/>
              </v:line>
            </w:pict>
          </mc:Fallback>
        </mc:AlternateContent>
      </w:r>
      <w:r>
        <w:rPr>
          <w:rFonts w:hint="eastAsia" w:ascii="仿宋" w:hAnsi="仿宋" w:eastAsia="仿宋"/>
          <w:spacing w:val="-20"/>
          <w:sz w:val="28"/>
          <w:szCs w:val="28"/>
          <w:highlight w:val="none"/>
        </w:rPr>
        <w:t>佛山高新技术产业开发区</w:t>
      </w:r>
      <w:r>
        <w:rPr>
          <w:rFonts w:hint="eastAsia" w:ascii="仿宋" w:hAnsi="仿宋" w:eastAsia="仿宋"/>
          <w:spacing w:val="-20"/>
          <w:sz w:val="28"/>
          <w:szCs w:val="28"/>
          <w:highlight w:val="none"/>
          <w:lang w:eastAsia="zh-CN"/>
        </w:rPr>
        <w:t>管理委员会党政</w:t>
      </w:r>
      <w:r>
        <w:rPr>
          <w:rFonts w:hint="eastAsia" w:ascii="仿宋" w:hAnsi="仿宋" w:eastAsia="仿宋"/>
          <w:spacing w:val="-20"/>
          <w:sz w:val="28"/>
          <w:szCs w:val="28"/>
          <w:highlight w:val="none"/>
        </w:rPr>
        <w:t xml:space="preserve">办公室    </w:t>
      </w:r>
      <w:r>
        <w:rPr>
          <w:rFonts w:hint="eastAsia" w:ascii="仿宋" w:hAnsi="仿宋" w:eastAsia="仿宋"/>
          <w:spacing w:val="-20"/>
          <w:sz w:val="28"/>
          <w:szCs w:val="28"/>
          <w:highlight w:val="none"/>
          <w:lang w:val="en-US" w:eastAsia="zh-CN"/>
        </w:rPr>
        <w:t xml:space="preserve">  </w:t>
      </w:r>
      <w:r>
        <w:rPr>
          <w:rFonts w:hint="eastAsia" w:ascii="仿宋" w:hAnsi="仿宋" w:eastAsia="仿宋"/>
          <w:spacing w:val="-20"/>
          <w:sz w:val="28"/>
          <w:szCs w:val="28"/>
          <w:highlight w:val="none"/>
        </w:rPr>
        <w:t xml:space="preserve"> </w:t>
      </w:r>
      <w:r>
        <w:rPr>
          <w:rFonts w:hint="eastAsia" w:ascii="仿宋" w:hAnsi="仿宋" w:eastAsia="仿宋"/>
          <w:spacing w:val="-20"/>
          <w:sz w:val="28"/>
          <w:szCs w:val="28"/>
          <w:highlight w:val="none"/>
          <w:lang w:val="en-US" w:eastAsia="zh-CN"/>
        </w:rPr>
        <w:t xml:space="preserve"> </w:t>
      </w:r>
      <w:r>
        <w:rPr>
          <w:rFonts w:hint="eastAsia" w:ascii="仿宋" w:hAnsi="仿宋" w:eastAsia="仿宋"/>
          <w:color w:val="auto"/>
          <w:spacing w:val="-17"/>
          <w:sz w:val="28"/>
          <w:szCs w:val="28"/>
          <w:highlight w:val="none"/>
        </w:rPr>
        <w:t>20</w:t>
      </w:r>
      <w:r>
        <w:rPr>
          <w:rFonts w:hint="eastAsia" w:ascii="仿宋" w:hAnsi="仿宋" w:eastAsia="仿宋"/>
          <w:color w:val="auto"/>
          <w:spacing w:val="-17"/>
          <w:sz w:val="28"/>
          <w:szCs w:val="28"/>
          <w:highlight w:val="none"/>
          <w:lang w:val="en-US" w:eastAsia="zh-CN"/>
        </w:rPr>
        <w:t>20</w:t>
      </w:r>
      <w:r>
        <w:rPr>
          <w:rFonts w:hint="eastAsia" w:ascii="仿宋" w:hAnsi="仿宋" w:eastAsia="仿宋"/>
          <w:color w:val="auto"/>
          <w:spacing w:val="-17"/>
          <w:sz w:val="28"/>
          <w:szCs w:val="28"/>
          <w:highlight w:val="none"/>
        </w:rPr>
        <w:t>年</w:t>
      </w:r>
      <w:r>
        <w:rPr>
          <w:rFonts w:hint="eastAsia" w:ascii="仿宋" w:hAnsi="仿宋" w:eastAsia="仿宋"/>
          <w:color w:val="auto"/>
          <w:spacing w:val="-17"/>
          <w:sz w:val="28"/>
          <w:szCs w:val="28"/>
          <w:highlight w:val="none"/>
          <w:lang w:val="en-US" w:eastAsia="zh-CN"/>
        </w:rPr>
        <w:t>12</w:t>
      </w:r>
      <w:r>
        <w:rPr>
          <w:rFonts w:hint="eastAsia" w:ascii="仿宋" w:hAnsi="仿宋" w:eastAsia="仿宋"/>
          <w:color w:val="auto"/>
          <w:spacing w:val="-17"/>
          <w:sz w:val="28"/>
          <w:szCs w:val="28"/>
          <w:highlight w:val="none"/>
        </w:rPr>
        <w:t>月</w:t>
      </w:r>
      <w:r>
        <w:rPr>
          <w:rFonts w:hint="eastAsia" w:ascii="仿宋" w:hAnsi="仿宋" w:eastAsia="仿宋"/>
          <w:color w:val="auto"/>
          <w:spacing w:val="-17"/>
          <w:sz w:val="28"/>
          <w:szCs w:val="28"/>
          <w:highlight w:val="none"/>
          <w:lang w:val="en-US" w:eastAsia="zh-CN"/>
        </w:rPr>
        <w:t>7</w:t>
      </w:r>
      <w:r>
        <w:rPr>
          <w:rFonts w:hint="eastAsia" w:ascii="仿宋" w:hAnsi="仿宋" w:eastAsia="仿宋"/>
          <w:color w:val="auto"/>
          <w:spacing w:val="-17"/>
          <w:sz w:val="28"/>
          <w:szCs w:val="28"/>
          <w:highlight w:val="none"/>
        </w:rPr>
        <w:t>日印发</w:t>
      </w:r>
      <w:r>
        <w:rPr>
          <w:rFonts w:hint="eastAsia" w:ascii="仿宋" w:hAnsi="仿宋" w:eastAsia="仿宋"/>
          <w:color w:val="auto"/>
          <w:sz w:val="28"/>
          <w:szCs w:val="28"/>
          <w:highlight w:val="none"/>
        </w:rPr>
        <w:t xml:space="preserve"> </w:t>
      </w:r>
      <w:r>
        <w:rPr>
          <w:rFonts w:hint="default" w:ascii="Times New Roman" w:hAnsi="Times New Roman" w:eastAsia="仿宋" w:cs="Times New Roman"/>
          <w:color w:val="auto"/>
          <w:spacing w:val="0"/>
          <w:w w:val="100"/>
          <w:sz w:val="32"/>
          <w:szCs w:val="32"/>
          <w:highlight w:val="none"/>
          <w:u w:val="none"/>
          <w:lang w:val="en-US" w:eastAsia="zh-CN"/>
        </w:rPr>
        <w:t xml:space="preserve"> </w:t>
      </w:r>
    </w:p>
    <w:p>
      <w:bookmarkStart w:id="3" w:name="_GoBack"/>
      <w:bookmarkEnd w:id="3"/>
    </w:p>
    <w:sectPr>
      <w:headerReference r:id="rId3" w:type="default"/>
      <w:footerReference r:id="rId4" w:type="default"/>
      <w:pgSz w:w="11906" w:h="16838"/>
      <w:pgMar w:top="2098" w:right="1474" w:bottom="1984"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203060900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51485"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14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35.55pt;mso-position-horizontal:outside;mso-position-horizontal-relative:margin;mso-wrap-style:none;z-index:251658240;mso-width-relative:page;mso-height-relative:page;" filled="f" stroked="f" coordsize="21600,21600" o:gfxdata="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Yx7H/SAAAAAwEAAA8AAAAAAAAAAQAg&#10;AAAAIgAAAGRycy9kb3ducmV2LnhtbFBLAQIUABQAAAAIAIdO4kAJXTF8FAIAAAUEAAAOAAAAAAAA&#10;AAEAIAAAACEBAABkcnMvZTJvRG9jLnhtbFBLBQYAAAAABgAGAFkBAACn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- 9 -</w:t>
                    </w:r>
                    <w:r>
                      <w:rPr>
                        <w:rFonts w:hint="eastAsia" w:asciiTheme="minorEastAsia" w:hAnsi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D64E9"/>
    <w:rsid w:val="259D64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狮山镇人民政府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2020-12-08T09:06:00Z</dcterms:created>
  <dc:creator>张锦仪（总工会网管员）</dc:creator>
  <cp:lastModifiedBy>张锦仪（总工会网管员）</cp:lastModifiedBy>
  <dcterms:modified xsi:type="dcterms:W3CDTF">2020-12-08T09:06:28Z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